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1979" w14:textId="5f51979">
      <w:pPr>
        <w:pStyle w:val="TitleStyle"/>
        <w15:collapsed w:val="false"/>
      </w:pPr>
      <w:r>
        <w:t>Wykaz numerów rachunków bankowych urzędów skarbowych.</w:t>
      </w:r>
    </w:p>
    <w:p>
      <w:pPr>
        <w:pStyle w:val="NormalStyle"/>
      </w:pPr>
      <w:r>
        <w:t>Dz.Urz.MF.2019.6 z dnia 2019.01.21</w:t>
      </w:r>
    </w:p>
    <w:p>
      <w:pPr>
        <w:pStyle w:val="NormalStyle"/>
      </w:pPr>
      <w:r>
        <w:t>Status: Akt obowiązujący </w:t>
      </w:r>
    </w:p>
    <w:p>
      <w:pPr>
        <w:pStyle w:val="NormalStyle"/>
      </w:pPr>
      <w:r>
        <w:t>Wersja od: 21 stycznia 2019 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21 stycznia 2019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OBWIESZCZENIE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MINISTRA FINANSÓW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 dnia 14 stycznia 2019 r.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wykazu numerów rachunków bankowych urzędów skarbowych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Ogłasza się: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numerów rachunków bankowych: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urzędów skarbowych, z wyłączeniem urzędów skarbowych, których naczelnicy są właściwi wyłącznie w sprawach podatników określonych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11 ust. 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16 listopada 2016 r. o Krajowej Administracji Skarbowej (Dz. U. z 2018 r. poz. 508, z późn. zm.), zwanej dalej "ustawą" oraz urzędów skarbowych, których naczelnicy nie wykonują zadań z zakresu egzekucji administracyjnej należności pieniężnych, stanowiący załącznik nr 1 do obwieszczenia,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urzędów skarbowych, których naczelnicy są właściwi wyłącznie w zakresie podatników określonych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11 ust. 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ustawy, stanowiący załącznik nr 2 do obwieszczenia,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urzędów skarbowych, których naczelnicy nie wykonują zadań z zakresu egzekucji administracyjnej należności pieniężnych, stanowiący załącznik nr 3 do obwieszczenia;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symbole formularza/tytułu płatności powiązane z rachunkami bankowymi urzędów skarbowych, stanowiące załącznik nr 4 do obwieszczenia.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Użyte w załącznikach nr 1-4 do obwieszczenia skróty rodzajów rachunków bankowych oznaczają: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d. - rachunek bieżący urzędu skarbowego do gromadzenia dochodów budżetowych z tytułu dochodów podatkowych i niepodatkowych należności budżetowych: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2017"/>
        <w:gridCol w:w="537"/>
        <w:gridCol w:w="10627"/>
      </w:tblGrid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CIT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podatek dochodowy od osób prawnych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VAT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podatek od towarów i usług (w tym wpłaty innych państw członkowskich w ramach MOSS - dot. Łódzkiego Urzędu Skarbowego w Łodzi)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06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VIU-D/VIN-</w:t>
            </w:r>
          </w:p>
          <w:p>
            <w:pPr>
              <w:spacing w:before="25" w:after="0"/>
              <w:ind w:left="106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D (MOSS)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PIT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podatek dochodowy od osób fizycznych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PIT-STD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wpłaty z tytułu podatku potrąconego od dochodów z oszczędności w formie wypłacanych odsetek osób fizycznych w ramach </w:t>
            </w:r>
            <w:r>
              <w:rPr>
                <w:rFonts w:ascii="Times New Roman"/>
                <w:b w:val="false"/>
                <w:i w:val="false"/>
                <w:color w:val="1b1b1b"/>
                <w:sz w:val="24"/>
                <w:lang w:val="pl-Pl"/>
              </w:rPr>
              <w:t>Dyrektywy</w:t>
            </w: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 Rady UE 2014/107/UE oraz stosownych umów o opodatkowaniu dochodów z oszczędności (tylko w Trzecim Urzędzie Skarbowym Warszawa-Śródmieście)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KP PCC SD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zryczałtowany podatek dochodowy (karta podatkowa), podatek od czynności cywilnoprawnych, podatek od spadków i darowizn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in.d.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pozostałe dochody z tytułu dochodów podatkowych i niepodatkowych należności budżetowych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MANDATY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dokonywane przez ukaranych, wynikające z grzywien nałożonych w drodze mandatu karnego, stanowiące dochód budżetu państwa (tylko w Pierwszym Urzędzie Skarbowym w Opolu)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MAN-JNG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2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przekazywane przez organ, który nałożył mandat, wynikające z grzywien nałożonych w drodze mandatu karnego gotówkowego, stanowiące dochód budżetu państwa (tylko w Pierwszym Urzędzie Skarbowym w Opolu)</w:t>
            </w:r>
          </w:p>
        </w:tc>
      </w:tr>
    </w:tbl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da. - rachunek bieżący Urzędu Skarbowego w Nowym Targu dla gromadzenia dochodów budżetowych z tytułu: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podatku akcyzowego, o którym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6 grudnia 2008 r. o podatku akcyzowym (Dz. U. z 2018 r. poz. 1114, z późn. zm.),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podatku od wydobycia niektórych kopalin,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 marca 2012 r. o podatku od wydobycia niektórych kopalin (Dz. U. z 2018 r. poz. 228),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podatku od gier,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19 listopada 2009 r. o grach hazardowych (Dz. U. z 2018 r. poz. 165, 650, 723, 1629 i 2354),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podatku od towarów i usług w przypadku wewnątrzwspólnotowego nabycia paliw silnikowych,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103 ust. 5a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ust. 5b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11 marca 2004 r. o podatku od towarów i usług (Dz. U. z 2018 r. poz. 2174, 2193, 2215, 2244, 2354, 2392 i 2433):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1986"/>
        <w:gridCol w:w="529"/>
        <w:gridCol w:w="10592"/>
      </w:tblGrid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SADAKC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podatku akcyzowego od importu dotyczące jednego zgłoszenia celnego lub wynikające z jednej decyzji/postanowienia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SADAKCW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podatku akcyzowego od importu dotyczące więcej niż jednego zgłoszenia celnego lub wynikające z więcej niż jednej decyzji/postanowienia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AKC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dotyczące jednej deklaracji z tytułu podatku akcyzowego lub wynikające z decyzji/postanowienia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AKCW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dotyczące więcej niż jednej deklaracji z tytułu podatku akcyzowego lub wynikające z decyzji/postanowienia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KOP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podatku od wydobycia niektórych kopalin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POG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podatku od gier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VAT-14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podatku od towarów i usług w przypadku wewnątrzwspólnotowego nabycia paliw silnikowych rozliczanych w deklaracji VAT-14</w:t>
            </w:r>
          </w:p>
        </w:tc>
      </w:tr>
      <w:tr>
        <w:trPr>
          <w:trHeight w:val="45" w:hRule="atLeast"/>
        </w:trPr>
        <w:tc>
          <w:tcPr>
            <w:tcW w:w="198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WNIBAN</w:t>
            </w:r>
          </w:p>
        </w:tc>
        <w:tc>
          <w:tcPr>
            <w:tcW w:w="52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59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do wniosków dotyczące wydania banderoli</w:t>
            </w:r>
          </w:p>
        </w:tc>
      </w:tr>
    </w:tbl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c. - rachunek bieżący Urzędu Skarbowego w Nowym Targu dla gromadzenia dochodów budżetowych z tytułu: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należności celnych i innych opłat związanych z przywozem i wywozem towarów,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rozporządzeniu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Parlamentu Europejskiego i Rady (UE) nr 952/2013 z dnia 9 października 2013 r. ustanawiającego unijny kodeks celny (Dz. Urz. UE L 269 z 10.10.2013, str. 1, z późn. zm.),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podatku od towarów i usług z tytułu importu towarów, o którym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11 marca 2004 r. o podatku od towarów i usług,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 pieniężnych,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92a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6 września 2001 r. o transporcie drogowym (Dz. U. z 2017 r. poz. 2200, z późn. zm.),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kary porządkowej,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262 §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29 sierpnia 1997 r. - Ordynacja podatkowa (Dz. U. z 2018 r. poz. 800, z późn. zm.),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e)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kosztów postępowania,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267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29 sierpnia 1997 r. - Ordynacja podatkowa,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f)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kosztów postępowania administracyjnego,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262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14 czerwca 1960 r. - Kodeks postępowania administracyjnego (Dz. U. z 2018 r. poz. 2096),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g)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kary grzywny nakładanej w drodze mandatu karnego za wykroczenia skarbowe,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138 §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10 września 1999 r. - Kodeks karny skarbowy (Dz. U. z 2018 r. poz. 1958, 2192, 2193, 2227 i 2354), zwanej dalej "Kodeksem karnym skarbowym",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h)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 grzywny,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143 § 1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146 § 2 pkt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karnego skarbowego,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i)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kosztów postępowania,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143 § 1 pkt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146 § 2 pkt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karnego skarbowego,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j)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równowartości pieniężnej,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16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,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143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oraz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146 § 2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karnego skarbowego,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kary pieniężnej,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285 §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6 czerwca 1997 r. - Kodeks postępowania karnego (Dz. U. z 2018 r. poz. 1987 i 1937), w związku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113 §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- Kodeks karny skarbowy,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l)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kosztów postępowania,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289 §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6 czerwca 1997 r. - Kodeks postępowania karnego, w związku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113 §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karnego skarbowego,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ł)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kary pieniężnej,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101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19 marca 2004 r. - Prawo celne (Dz. U. z 2018 r. poz. 167, z późn. zm.),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m)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 pieniężnych,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89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19 listopada 2009 r. o grach hazardowych,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opłat wynikających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19 listopada 2009 r. o grach hazardowych,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opłat za udostępnianie danych,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50 ust.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administracyjnej kary pieniężnej,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66a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28 września 1991 r. o lasach (Dz. U. z 2018 r. poz. 2129 i 2161),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r)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opłat,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93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19 marca 2004 r. - Prawo celne,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kaucji,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9 marca 2017 r. o systemie monitorowania drogowego i kolejowego przewozu towarów (Dz. U. z 2018 r. poz. 2332),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t)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 pieniężnych,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9 marca 2017 r. o systemie monitorowania drogowego i kolejowego przewozu towarów,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u)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kary pieniężnej,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138u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6 grudnia 2009 r. o podatku akcyzowym: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2017"/>
        <w:gridCol w:w="537"/>
        <w:gridCol w:w="10630"/>
      </w:tblGrid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SADN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cła, podatku od towarów i usług od importu dotyczące jednego zgłoszenia celnego lub wynikające z jednej decyzji/postanowienia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SADNW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cła, podatku od towarów i usług od importu dotyczące więcej niż jednego zgłoszenia celnego lub wynikające z więcej niż jednej decyzji/postanowienia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VATIMP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dotyczące deklaracji importowych dla podatku od towarów i usług składanych na formularzu VAT-IM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POZDOCH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innych należności, np. kar pieniężnych, kar grzywien nakładanych w drodze mandatów karnych, kosztów wytworzenia podatkowych znaków akcyzy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GRY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wpłaty opłat wynikających z </w:t>
            </w:r>
            <w:r>
              <w:rPr>
                <w:rFonts w:ascii="Times New Roman"/>
                <w:b w:val="false"/>
                <w:i w:val="false"/>
                <w:color w:val="1b1b1b"/>
                <w:sz w:val="24"/>
                <w:lang w:val="pl-Pl"/>
              </w:rPr>
              <w:t>ustawy</w:t>
            </w: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 o grach hazardowych</w:t>
            </w:r>
          </w:p>
        </w:tc>
      </w:tr>
    </w:tbl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o. - rachunek pomocniczy Urzędu Skarbowego w Nowym Targu dla gromadzenia dochodów z tytułu opłaty paliwowej,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27 października 1994 r. o autostradach płatnych oraz o Krajowym Funduszu Drogowym (Dz. U. z 2018 r. poz. 2014 i 2244):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2017"/>
        <w:gridCol w:w="537"/>
        <w:gridCol w:w="10630"/>
      </w:tblGrid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OPAL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opłaty paliwowej</w:t>
            </w:r>
          </w:p>
        </w:tc>
      </w:tr>
      <w:tr>
        <w:trPr>
          <w:trHeight w:val="45" w:hRule="atLeast"/>
        </w:trPr>
        <w:tc>
          <w:tcPr>
            <w:tcW w:w="201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OEMIS</w:t>
            </w:r>
          </w:p>
        </w:tc>
        <w:tc>
          <w:tcPr>
            <w:tcW w:w="53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-</w:t>
            </w:r>
          </w:p>
        </w:tc>
        <w:tc>
          <w:tcPr>
            <w:tcW w:w="1063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wpłaty z tytułu opłaty emisyjnej</w:t>
            </w:r>
          </w:p>
        </w:tc>
      </w:tr>
    </w:tbl>
    <w:p>
      <w:pPr>
        <w:spacing w:before="25" w:after="0"/>
        <w:ind w:left="37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 rachunkach dla wpłat CIT, VAT (MOSS), VIU-D/VIN-D (MOSS), PIT, PIT-STD, KP, PCC, SD, MANDATY, MAN-JNG, SADAKC, SADAKCW, AKC, AKCW, KOP, POG, VAT-14, WNIBAN, SADN, SADNW, VATIMP, POZDOCH, OPAL, OEMIS i in.d. gromadzi się wpływy z tytułu należności głównej, odsetek za zwłokę od należności głównej oraz kosztów upomnienia.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ZAŁĄCZNIKI 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1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Wykaz numerów rachunków bankowych urzędów skarbowych, z wyłączeniem urzędów skarbowych, których naczelnicy są właściwi wyłącznie w sprawach podatników określonych w art. 11 ust. 4 ustawy z dnia 16 listopada 2016 r. o Krajowej Administracji Skarbowej oraz urzędów skarbowych których naczelnicy nie wykonują zadań z zakresu egzekucji administracyjnej należności pieniężnych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grafika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2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Wykaz numerów rachunków bankowych urzędów skarbowych, których naczelnicy są właściwi wyłącznie w zakresie podatników określonych w art. 11 ust. 4 ustawy z dnia 16 listopada 2016 r. o Krajowej Administracji Skarbowej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grafika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3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Wykaz numerów rachunków bankowych urzędów skarbowych, których naczelnicy nie wykonują zadań z zakresu egzekucji administracyjnej należności pieniężnych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grafika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4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Symbole formularza/tytułu płatności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grafika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Minister Finansów kieruje działem administracji rządowej - finanse publiczne,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ust. 2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Prezesa Rady Ministrów z dnia 10 stycznia 2018 r. w sprawie szczegółowego zakresu działania Ministra Finansów (Dz. U. poz. 92).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DocDefaults">
    <w:name w:val="DocDefaults"/>
    <w:pPr>
      <w:spacing w:after="200" w:line="276" w:lineRule="auto"/>
    </w:pPr>
    <w:rPr>
      <w:rFonts w:ascii="Times New Roman" w:hAnsi="Times New Roman" w:eastAsia="Times New Roman" w:cs="Times New Roman" w:asciiTheme="minorHAnsi" w:hAnsiTheme="minorHAnsi" w:eastAsiaTheme="minorHAnsi" w:cstheme="minorBidi"/>
      <w:sz w:val="24"/>
      <w:szCs w:val="22"/>
      <w:lang w:val="pl-Pl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