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4" w:rsidRPr="006E2084" w:rsidRDefault="006E2084" w:rsidP="006E208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E2084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E208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6E2084" w:rsidRPr="006E2084" w:rsidRDefault="006E2084" w:rsidP="006E208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084" w:rsidRPr="006E2084" w:rsidRDefault="00F62CA7" w:rsidP="006E208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p</w:t>
      </w:r>
      <w:r w:rsidR="006E2084" w:rsidRPr="006E208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arametrów technicznych</w:t>
      </w:r>
    </w:p>
    <w:tbl>
      <w:tblPr>
        <w:tblW w:w="954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1E0"/>
      </w:tblPr>
      <w:tblGrid>
        <w:gridCol w:w="589"/>
        <w:gridCol w:w="2180"/>
        <w:gridCol w:w="3665"/>
        <w:gridCol w:w="3112"/>
      </w:tblGrid>
      <w:tr w:rsidR="006E2084" w:rsidRPr="00990B02" w:rsidTr="00A97A38">
        <w:tc>
          <w:tcPr>
            <w:tcW w:w="95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68" w:type="dxa"/>
            </w:tcMar>
          </w:tcPr>
          <w:p w:rsidR="006E2084" w:rsidRPr="00990B02" w:rsidRDefault="006E2084" w:rsidP="00E70B9E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Komputery przenośne 14’ ze stacją dokującą i akcesoriami” </w:t>
            </w:r>
          </w:p>
        </w:tc>
      </w:tr>
      <w:tr w:rsidR="006E2084" w:rsidRPr="00990B02" w:rsidTr="00D1153B">
        <w:tc>
          <w:tcPr>
            <w:tcW w:w="95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68" w:type="dxa"/>
            </w:tcMar>
          </w:tcPr>
          <w:p w:rsidR="006E2084" w:rsidRPr="006E2084" w:rsidRDefault="006E2084" w:rsidP="006E208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84">
              <w:rPr>
                <w:rFonts w:ascii="Times New Roman" w:eastAsia="Calibri" w:hAnsi="Times New Roman" w:cs="Times New Roman"/>
                <w:sz w:val="20"/>
                <w:szCs w:val="20"/>
              </w:rPr>
              <w:t>Marka ..................................................................................................................</w:t>
            </w:r>
          </w:p>
          <w:p w:rsidR="006E2084" w:rsidRPr="006E2084" w:rsidRDefault="006E2084" w:rsidP="006E208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084">
              <w:rPr>
                <w:rFonts w:ascii="Times New Roman" w:eastAsia="Calibri" w:hAnsi="Times New Roman" w:cs="Times New Roman"/>
                <w:sz w:val="20"/>
                <w:szCs w:val="20"/>
              </w:rPr>
              <w:t>Model....................................................................................................................</w:t>
            </w:r>
          </w:p>
          <w:p w:rsidR="006E2084" w:rsidRPr="00990B02" w:rsidRDefault="006E2084" w:rsidP="006E2084">
            <w:pPr>
              <w:pStyle w:val="Nagwe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08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Producent: ............................................................................................................</w:t>
            </w:r>
          </w:p>
        </w:tc>
      </w:tr>
      <w:tr w:rsidR="006E2084" w:rsidRPr="00990B02" w:rsidTr="006E2084">
        <w:tc>
          <w:tcPr>
            <w:tcW w:w="589" w:type="dxa"/>
            <w:tcBorders>
              <w:top w:val="double" w:sz="4" w:space="0" w:color="auto"/>
            </w:tcBorders>
            <w:shd w:val="clear" w:color="auto" w:fill="auto"/>
            <w:tcMar>
              <w:left w:w="68" w:type="dxa"/>
            </w:tcMar>
          </w:tcPr>
          <w:p w:rsidR="006E2084" w:rsidRPr="00990B02" w:rsidRDefault="006E2084" w:rsidP="00724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E2084" w:rsidRPr="00990B02" w:rsidRDefault="006E2084" w:rsidP="00724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E2084" w:rsidRPr="00990B02" w:rsidRDefault="006E2084" w:rsidP="00724B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3112" w:type="dxa"/>
            <w:tcBorders>
              <w:top w:val="double" w:sz="4" w:space="0" w:color="auto"/>
            </w:tcBorders>
          </w:tcPr>
          <w:p w:rsidR="006E2084" w:rsidRPr="006E2084" w:rsidRDefault="006E2084" w:rsidP="006E20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:rsidR="006E2084" w:rsidRPr="00990B02" w:rsidRDefault="006E2084" w:rsidP="006E20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0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Należy podać konkretne wartości, zakresy itp. oferowanych parametrów</w:t>
            </w: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Typ i zastosowanie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1A5F78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Laptop typu biznesowego wykorzystywany do aplikacji resortowych Ministerstwa Finansów.</w:t>
            </w:r>
          </w:p>
        </w:tc>
        <w:tc>
          <w:tcPr>
            <w:tcW w:w="3112" w:type="dxa"/>
          </w:tcPr>
          <w:p w:rsidR="006E2084" w:rsidRPr="00990B02" w:rsidRDefault="006E2084" w:rsidP="001A5F78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Wyświetlacz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Przekątna min. 14 cali o rozdzielczości min. 1920 x 1080 (Full HD), typ: matowy </w:t>
            </w:r>
          </w:p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 standardzie 16:9</w:t>
            </w:r>
          </w:p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Matryca IPS</w:t>
            </w:r>
          </w:p>
        </w:tc>
        <w:tc>
          <w:tcPr>
            <w:tcW w:w="3112" w:type="dxa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Procesor</w:t>
            </w:r>
          </w:p>
          <w:p w:rsidR="006E2084" w:rsidRPr="00990B02" w:rsidRDefault="006E2084" w:rsidP="00724B55">
            <w:pPr>
              <w:pStyle w:val="TableContents"/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E97722" w:rsidRDefault="006E2084" w:rsidP="001C3FC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Procesor zaprojektowany do pracy w komputerach przenośnych i obsługujący architekturę x86-64, stosowany w układach jednoprocesorowych. osiągający min.  8000 pkt. w teście </w:t>
            </w:r>
            <w:proofErr w:type="spellStart"/>
            <w:r w:rsidRPr="00990B02">
              <w:rPr>
                <w:sz w:val="20"/>
                <w:szCs w:val="20"/>
              </w:rPr>
              <w:t>PassMark</w:t>
            </w:r>
            <w:proofErr w:type="spellEnd"/>
            <w:r w:rsidRPr="00990B02">
              <w:rPr>
                <w:sz w:val="20"/>
                <w:szCs w:val="20"/>
              </w:rPr>
              <w:t xml:space="preserve"> CPU Mark </w:t>
            </w:r>
            <w:proofErr w:type="spellStart"/>
            <w:r w:rsidRPr="00990B02">
              <w:rPr>
                <w:sz w:val="20"/>
                <w:szCs w:val="20"/>
              </w:rPr>
              <w:t>Multiple</w:t>
            </w:r>
            <w:proofErr w:type="spellEnd"/>
            <w:r w:rsidRPr="00990B02">
              <w:rPr>
                <w:sz w:val="20"/>
                <w:szCs w:val="20"/>
              </w:rPr>
              <w:t xml:space="preserve"> CPU Systems </w:t>
            </w:r>
            <w:r w:rsidRPr="00E97722">
              <w:rPr>
                <w:sz w:val="20"/>
                <w:szCs w:val="20"/>
              </w:rPr>
              <w:t>zamieszczony na stronie http://www.cpubenchmark.net/cpu_list.php najpóźniej w dniu poprzedzającym dzień w którym upływa termin składania ofert. W przypadku jeżeli oferowany procesor nie jest zamieszczony na stronie http://www.cpubenchmark.net/cpu_list.php na Wykonawcy spoczywa obowiązek zamiesz</w:t>
            </w:r>
            <w:bookmarkStart w:id="0" w:name="_GoBack"/>
            <w:bookmarkEnd w:id="0"/>
            <w:r w:rsidRPr="00E97722">
              <w:rPr>
                <w:sz w:val="20"/>
                <w:szCs w:val="20"/>
              </w:rPr>
              <w:t>czenia wyników testów wydajności procesora i opublikowania parametrów wydajności procesora na powyższej stronie jednak nie później niż do dnia poprzedzającego dzień w którym upływa termin składania ofert.</w:t>
            </w:r>
          </w:p>
          <w:p w:rsidR="006E2084" w:rsidRPr="00990B02" w:rsidRDefault="006E2084" w:rsidP="007868C6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minimalna częstotliwość taktowania min. 1.70 GHz.</w:t>
            </w:r>
            <w:r w:rsidRPr="00990B02">
              <w:rPr>
                <w:color w:val="FF0000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- ilość rdzeni fizycznych 4.</w:t>
            </w:r>
          </w:p>
        </w:tc>
        <w:tc>
          <w:tcPr>
            <w:tcW w:w="3112" w:type="dxa"/>
          </w:tcPr>
          <w:p w:rsidR="006E2084" w:rsidRPr="00990B02" w:rsidRDefault="006E2084" w:rsidP="001C3FC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Płyta główna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25D1E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chipset zaprojektowany do pracy w komputerach przenośnych</w:t>
            </w:r>
          </w:p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wyposażona w 2 sloty pamięci.</w:t>
            </w:r>
          </w:p>
        </w:tc>
        <w:tc>
          <w:tcPr>
            <w:tcW w:w="3112" w:type="dxa"/>
          </w:tcPr>
          <w:p w:rsidR="006E2084" w:rsidRPr="00990B02" w:rsidRDefault="006E2084" w:rsidP="00C25D1E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6E2084" w:rsidRPr="00990B02" w:rsidTr="006E2084">
        <w:trPr>
          <w:trHeight w:val="56"/>
        </w:trPr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Bios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EB3815">
            <w:pPr>
              <w:pStyle w:val="TableContent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BIOS FLASH EEPROM posiadający zawansowane procedury oszczędzania energii;</w:t>
            </w:r>
          </w:p>
          <w:p w:rsidR="006E2084" w:rsidRPr="00990B02" w:rsidRDefault="006E2084" w:rsidP="00D5471C">
            <w:pPr>
              <w:pStyle w:val="TableContent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lastRenderedPageBreak/>
              <w:t>funkcja blokowania wejścia do  BIOS (gwarantujący utrzymanie zapisanego hasła nawet w przypadku odłączenia wszystkich źródeł zasilania i podtrzymania BIOS)</w:t>
            </w:r>
          </w:p>
          <w:p w:rsidR="006E2084" w:rsidRPr="00990B02" w:rsidRDefault="006E2084" w:rsidP="00D5471C">
            <w:pPr>
              <w:pStyle w:val="TableContent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funkcja blokowania/odblokowania  rozruchu systemu  stacji roboczej z zewnętrznych urządzeń</w:t>
            </w:r>
          </w:p>
          <w:p w:rsidR="006E2084" w:rsidRPr="00990B02" w:rsidRDefault="006E2084" w:rsidP="00E70B9E">
            <w:pPr>
              <w:pStyle w:val="TableContent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możliwości wyłączania portów USB.</w:t>
            </w:r>
          </w:p>
          <w:p w:rsidR="006E2084" w:rsidRPr="00990B02" w:rsidRDefault="006E2084" w:rsidP="00D5471C">
            <w:pPr>
              <w:pStyle w:val="Akapitzlist"/>
              <w:numPr>
                <w:ilvl w:val="0"/>
                <w:numId w:val="15"/>
              </w:num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BIOS płyty głównej, nie starszy niż 6 miesięcy licząc od daty przedstawienia oferty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72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Pamięć operacyjna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4A380E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min. 16 GB – w jednym module, z możliwością rozbudowy do co najmniej 32 GB;</w:t>
            </w:r>
          </w:p>
          <w:p w:rsidR="006E2084" w:rsidRPr="00990B02" w:rsidRDefault="006E2084" w:rsidP="004A380E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Typ pamięci DDR4;</w:t>
            </w:r>
          </w:p>
          <w:p w:rsidR="006E2084" w:rsidRPr="00990B02" w:rsidRDefault="006E2084" w:rsidP="006018C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Taktowanie pamięci: co najmniej 2400 MHz.</w:t>
            </w:r>
          </w:p>
        </w:tc>
        <w:tc>
          <w:tcPr>
            <w:tcW w:w="3112" w:type="dxa"/>
          </w:tcPr>
          <w:p w:rsidR="006E2084" w:rsidRPr="00990B02" w:rsidRDefault="006E2084" w:rsidP="004A380E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Porty zewnętrzne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E70B9E">
            <w:pPr>
              <w:pStyle w:val="TableContents"/>
              <w:numPr>
                <w:ilvl w:val="0"/>
                <w:numId w:val="20"/>
              </w:numPr>
              <w:spacing w:before="120" w:after="120"/>
              <w:ind w:left="387" w:hanging="387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min. 3 porty USB w tym co najmniej :</w:t>
            </w:r>
          </w:p>
          <w:p w:rsidR="006E2084" w:rsidRPr="00990B02" w:rsidRDefault="006E2084" w:rsidP="00843D3E">
            <w:pPr>
              <w:pStyle w:val="TableContent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2 x USB 3.x  typ A</w:t>
            </w:r>
          </w:p>
          <w:p w:rsidR="006E2084" w:rsidRPr="00990B02" w:rsidRDefault="006E2084" w:rsidP="00843D3E">
            <w:pPr>
              <w:pStyle w:val="TableContent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1 x USB 3.1 typ C (kompatybilny z </w:t>
            </w:r>
            <w:proofErr w:type="spellStart"/>
            <w:r w:rsidRPr="00990B02">
              <w:rPr>
                <w:sz w:val="20"/>
                <w:szCs w:val="20"/>
              </w:rPr>
              <w:t>Thunderbolt</w:t>
            </w:r>
            <w:proofErr w:type="spellEnd"/>
            <w:r w:rsidRPr="00990B02">
              <w:rPr>
                <w:sz w:val="20"/>
                <w:szCs w:val="20"/>
              </w:rPr>
              <w:t xml:space="preserve"> 3) </w:t>
            </w:r>
          </w:p>
          <w:p w:rsidR="006E2084" w:rsidRPr="00990B02" w:rsidRDefault="006E2084" w:rsidP="00E70B9E">
            <w:pPr>
              <w:pStyle w:val="TableContents"/>
              <w:numPr>
                <w:ilvl w:val="0"/>
                <w:numId w:val="20"/>
              </w:numPr>
              <w:spacing w:before="120" w:after="120"/>
              <w:ind w:left="387" w:hanging="387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1 x HDMI 1.4b lub 1 x </w:t>
            </w:r>
            <w:proofErr w:type="spellStart"/>
            <w:r w:rsidRPr="00990B02">
              <w:rPr>
                <w:sz w:val="20"/>
                <w:szCs w:val="20"/>
              </w:rPr>
              <w:t>DisplayPort</w:t>
            </w:r>
            <w:proofErr w:type="spellEnd"/>
          </w:p>
          <w:p w:rsidR="006E2084" w:rsidRPr="00990B02" w:rsidRDefault="006E2084" w:rsidP="00E70B9E">
            <w:pPr>
              <w:pStyle w:val="TableContents"/>
              <w:numPr>
                <w:ilvl w:val="0"/>
                <w:numId w:val="20"/>
              </w:numPr>
              <w:spacing w:before="120" w:after="120"/>
              <w:ind w:left="387" w:hanging="387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czytnik kart pamięci SD ( SD, SDHC, SDXC)</w:t>
            </w:r>
          </w:p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Wymagana liczba portów nie może być osiągnięta w wyniku stosowania konwerterów, przejściówek itp.</w:t>
            </w:r>
          </w:p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W przypadku braku wbudowanego interfejsu HDMI w zaoferowanym modelu, Wykonawca ma dostarczyć przejściówkę (adapter)  Display Port na HDMI 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387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Komunikacja przewodowa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4B306C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Ethernet, obsługująca przepustowości 10/100/1000, ze złączem RJ45</w:t>
            </w:r>
          </w:p>
          <w:p w:rsidR="006E2084" w:rsidRPr="00990B02" w:rsidRDefault="006E2084" w:rsidP="004B306C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 (nie zajmująca portu USB).</w:t>
            </w:r>
          </w:p>
        </w:tc>
        <w:tc>
          <w:tcPr>
            <w:tcW w:w="3112" w:type="dxa"/>
          </w:tcPr>
          <w:p w:rsidR="006E2084" w:rsidRPr="00990B02" w:rsidRDefault="006E2084" w:rsidP="004B306C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2F6F19">
            <w:pPr>
              <w:pStyle w:val="TableContent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karta WLAN wewnętrzna (nie zajmująca portu USB) zgodna ze standardem</w:t>
            </w:r>
            <w:r w:rsidRPr="00990B02">
              <w:t xml:space="preserve"> </w:t>
            </w:r>
            <w:r w:rsidRPr="00990B02">
              <w:rPr>
                <w:sz w:val="20"/>
                <w:szCs w:val="20"/>
              </w:rPr>
              <w:t xml:space="preserve">IEEE 802.11ac (2x2) z możliwością jej wyłączenia </w:t>
            </w:r>
          </w:p>
          <w:p w:rsidR="006E2084" w:rsidRPr="00990B02" w:rsidRDefault="006E2084" w:rsidP="002F6F19">
            <w:pPr>
              <w:pStyle w:val="TableContents"/>
              <w:numPr>
                <w:ilvl w:val="0"/>
                <w:numId w:val="16"/>
              </w:num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990B02">
              <w:rPr>
                <w:color w:val="000000" w:themeColor="text1"/>
                <w:sz w:val="20"/>
                <w:szCs w:val="20"/>
              </w:rPr>
              <w:t xml:space="preserve">Bluetooth min. 4.1 </w:t>
            </w:r>
          </w:p>
          <w:p w:rsidR="006E2084" w:rsidRPr="00990B02" w:rsidRDefault="006E2084" w:rsidP="00613F5F">
            <w:pPr>
              <w:pStyle w:val="TableContent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color w:val="000000" w:themeColor="text1"/>
                <w:sz w:val="20"/>
                <w:szCs w:val="20"/>
              </w:rPr>
              <w:t xml:space="preserve">Modem LTE  obsługujący również HSPA, GPRS i EDGE działający w </w:t>
            </w:r>
            <w:r w:rsidRPr="00990B02">
              <w:rPr>
                <w:color w:val="000000" w:themeColor="text1"/>
                <w:sz w:val="20"/>
                <w:szCs w:val="20"/>
              </w:rPr>
              <w:lastRenderedPageBreak/>
              <w:t>zakresach częstotliwości obsługiwanych przez operatorów telekomunikacyjnych w Polsce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36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0D022A">
            <w:pPr>
              <w:pStyle w:val="TableContent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karta dźwiękowa zintegrowana;</w:t>
            </w:r>
          </w:p>
          <w:p w:rsidR="006E2084" w:rsidRPr="00990B02" w:rsidRDefault="006E2084" w:rsidP="000D022A">
            <w:pPr>
              <w:pStyle w:val="TableContent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min. 2 wbudowane głośniki;</w:t>
            </w:r>
          </w:p>
          <w:p w:rsidR="006E2084" w:rsidRPr="00990B02" w:rsidRDefault="006E2084" w:rsidP="00053EC9">
            <w:pPr>
              <w:pStyle w:val="TableContent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złącze słuchawkowe/mikrofonowe </w:t>
            </w:r>
            <w:proofErr w:type="spellStart"/>
            <w:r w:rsidRPr="00990B02">
              <w:rPr>
                <w:sz w:val="20"/>
                <w:szCs w:val="20"/>
              </w:rPr>
              <w:t>line-out</w:t>
            </w:r>
            <w:proofErr w:type="spellEnd"/>
            <w:r w:rsidRPr="00990B02">
              <w:rPr>
                <w:sz w:val="20"/>
                <w:szCs w:val="20"/>
              </w:rPr>
              <w:t>/</w:t>
            </w:r>
            <w:proofErr w:type="spellStart"/>
            <w:r w:rsidRPr="00990B02">
              <w:rPr>
                <w:sz w:val="20"/>
                <w:szCs w:val="20"/>
              </w:rPr>
              <w:t>line-in</w:t>
            </w:r>
            <w:proofErr w:type="spellEnd"/>
            <w:r w:rsidRPr="00990B02">
              <w:rPr>
                <w:sz w:val="20"/>
                <w:szCs w:val="20"/>
              </w:rPr>
              <w:t xml:space="preserve"> – dopuszczalne złącze typu COMBO;</w:t>
            </w:r>
          </w:p>
          <w:p w:rsidR="006E2084" w:rsidRPr="00990B02" w:rsidRDefault="006E2084" w:rsidP="000D022A">
            <w:pPr>
              <w:pStyle w:val="TableContent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kamera internetowa 720p HD;</w:t>
            </w:r>
          </w:p>
          <w:p w:rsidR="006E2084" w:rsidRPr="00990B02" w:rsidRDefault="006E2084" w:rsidP="000D022A">
            <w:pPr>
              <w:pStyle w:val="TableContent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możliwość jednoczesnego wyświetlania obrazu na wbudowanym w urządzenie wyświetlaczu oraz zewnętrznym urządzeniu wizualnym.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36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Karta graficzna 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0D022A">
            <w:pPr>
              <w:pStyle w:val="TableContent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Wbudowana karta graficzna zintegrowana z płytą główną.</w:t>
            </w:r>
          </w:p>
          <w:p w:rsidR="006E2084" w:rsidRPr="00990B02" w:rsidRDefault="006E2084" w:rsidP="001E4CB4">
            <w:pPr>
              <w:pStyle w:val="TableContents"/>
              <w:numPr>
                <w:ilvl w:val="0"/>
                <w:numId w:val="18"/>
              </w:numPr>
              <w:spacing w:before="120" w:after="120"/>
              <w:rPr>
                <w:strike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Pamięć współdzielona, przydzielana dynamicznie.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360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Parametry pamięci masowej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5A4C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Dysk SSD</w:t>
            </w:r>
            <w:r w:rsidRPr="00990B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512 GB</w:t>
            </w:r>
          </w:p>
        </w:tc>
        <w:tc>
          <w:tcPr>
            <w:tcW w:w="3112" w:type="dxa"/>
          </w:tcPr>
          <w:p w:rsidR="006E2084" w:rsidRPr="00990B02" w:rsidRDefault="006E2084" w:rsidP="005A4C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Obudowa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1420CD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 xml:space="preserve">Komputer wykonany z materiałów o podwyższonej odporności na uszkodzenia mechaniczne oraz przystosowana do pracy w trudnych warunkach termicznych, charakteryzujący się wzmocnioną konstrukcją, tzw. „business </w:t>
            </w:r>
            <w:proofErr w:type="spellStart"/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rugged</w:t>
            </w:r>
            <w:proofErr w:type="spellEnd"/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”, według normy Mil-Std-810G tj. taki, który zaliczył co najmniej 8 metod z wynikiem pozytywnym (do oferty załączyć dokument potwierdzający spełnianie warunku).</w:t>
            </w:r>
          </w:p>
          <w:p w:rsidR="006E2084" w:rsidRPr="00990B02" w:rsidRDefault="006E2084" w:rsidP="001420CD">
            <w:pPr>
              <w:pStyle w:val="Akapitzlist"/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Zawiasy matrycy metalowe lub wykonane ze stopu metalu..  </w:t>
            </w:r>
          </w:p>
          <w:p w:rsidR="006E2084" w:rsidRPr="00990B02" w:rsidRDefault="006E2084" w:rsidP="001420CD">
            <w:pPr>
              <w:numPr>
                <w:ilvl w:val="0"/>
                <w:numId w:val="1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 xml:space="preserve">Wbudowane mikrofony, głośniki oraz przyciski sterujące. </w:t>
            </w:r>
          </w:p>
          <w:p w:rsidR="006E2084" w:rsidRPr="00990B02" w:rsidRDefault="006E2084" w:rsidP="001420CD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90B02">
              <w:rPr>
                <w:rFonts w:ascii="Times New Roman" w:hAnsi="Times New Roman" w:cs="Times New Roman"/>
                <w:b/>
                <w:sz w:val="20"/>
                <w:szCs w:val="20"/>
              </w:rPr>
              <w:t>Dopuszcza się zaoferowanie przycisków sterujących za pomocą klawiszy funkcyjnych.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Akapitzlist"/>
              <w:spacing w:after="0"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Wymagania dotyczące zasilania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ind w:left="708" w:hanging="708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- uniwersalny zasilacz 220 - 240V; </w:t>
            </w:r>
          </w:p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kabel zasilający dedykowany przez producenta, z drugiej zakończony wtykiem standardowym (wykorzystywanym w Polsce).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ind w:left="708" w:hanging="708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Waga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color w:val="000000" w:themeColor="text1"/>
                <w:sz w:val="20"/>
                <w:szCs w:val="20"/>
              </w:rPr>
              <w:t>Do 1,8 kg (</w:t>
            </w:r>
            <w:r w:rsidRPr="00990B02">
              <w:rPr>
                <w:sz w:val="20"/>
                <w:szCs w:val="20"/>
              </w:rPr>
              <w:t>waga laptopa bez zasilacza)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Bateria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color w:val="000000" w:themeColor="text1"/>
                <w:sz w:val="20"/>
                <w:szCs w:val="20"/>
              </w:rPr>
              <w:t>Czas pracy minimum 12 godzin</w:t>
            </w:r>
            <w:r w:rsidRPr="00990B02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990B02">
              <w:rPr>
                <w:color w:val="000000" w:themeColor="text1"/>
                <w:sz w:val="20"/>
                <w:szCs w:val="20"/>
              </w:rPr>
              <w:t>bez funkcji oszczędzania energii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vMerge w:val="restart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Wymagania dodatkowe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Wbudowana klawiatura w układzie QWERTY, z wydzielonymi klawiszami </w:t>
            </w:r>
            <w:r w:rsidRPr="00990B02">
              <w:rPr>
                <w:sz w:val="20"/>
                <w:szCs w:val="20"/>
              </w:rPr>
              <w:lastRenderedPageBreak/>
              <w:t xml:space="preserve">funkcyjnymi F1-F12 odporna na zalanie, podświetlana. 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Wbudowana konsola dotykowa </w:t>
            </w:r>
            <w:r w:rsidRPr="00990B0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0B02">
              <w:rPr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990B02">
              <w:rPr>
                <w:color w:val="000000" w:themeColor="text1"/>
                <w:sz w:val="20"/>
                <w:szCs w:val="20"/>
              </w:rPr>
              <w:t>)</w:t>
            </w:r>
            <w:r w:rsidRPr="00990B02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z min. dwoma klawiszami funkcyjnymi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Zewnętrzny napęd optyczny DVD z  nagrywaniem (tego samego producenta co oferowany notebook)  podłączany po porcie USB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1B1F40">
            <w:pPr>
              <w:pStyle w:val="TableContents"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System operacyjny, oprogramowanie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1B1F40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System operacyjny w wersji 64 bit. w polskiej wersji językowej (preinstalowany na dysku twardym) wraz z nośnikiem (płyta przygotowana przez producenta lub autoryzowanego dystrybutora komputera) pozwalającym na ponowną instalację systemu niewymagającą wpisywania klucza rejestracyjnego lub rejestracji poprzez Internet czy telefon lub równoważny: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oferujący pełną integrację z wdrożoną w resorcie finansów usługą katalogową Microsoft Active Directory;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umożliwiający nawiązanie połączenia z komputerem za pomocą funkcji pulpitu zdalnego;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umożliwiający wykorzystanie pełnej funkcjonalności wdrożonego w resorcie finansów systemu komunikacyjnego opartego o oprogramowanie Microsoft Server Lync oraz Skype for Business Server i oprogramowanie klienckie instalowane na komputerach PC;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umożliwiający zainstalowanie i korzystanie w pełnym zakresie (zapewnienie ochrony antywirusowej komputera - tj. uruchomione procesy, pamięć RAM) z korporacyjnego pakietu Trend Micro Office Scan w wersji 11.x i wyższej stanowiącej element systemu firmy Trend Micro wdrożonego w resorcie finansów;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umożliwiający uruchomienie przeglądarki internetowej Internet Explorer w celu pełnej funkcjonalnie pracy na aplikacjach webowych wdrożonych w resorcie finansów zoptymalizowanych pod kątem działania w tej przeglądarce;</w:t>
            </w:r>
          </w:p>
          <w:p w:rsidR="006E2084" w:rsidRPr="00990B02" w:rsidRDefault="006E2084" w:rsidP="001B1F40">
            <w:pPr>
              <w:pStyle w:val="TableContents"/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Postanowienia licencyjne powinny zezwalać Zamawiającemu na zmianę wersji systemu operacyjnego na starszą;</w:t>
            </w:r>
          </w:p>
          <w:p w:rsidR="006E2084" w:rsidRPr="00990B02" w:rsidRDefault="006E2084" w:rsidP="001B1F40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Oferowany system operacyjny, musi posiadać pełne wsparcie serwisowe i </w:t>
            </w:r>
            <w:r w:rsidRPr="00990B02">
              <w:rPr>
                <w:sz w:val="20"/>
                <w:szCs w:val="20"/>
              </w:rPr>
              <w:lastRenderedPageBreak/>
              <w:t>techniczne producenta danego oprogramowania m.in. aktualizację  systemu operacyjnego w zakresie określonym przez producenta danego oprogramowania w warunkach licencyjnych dla danego systemu operacyjnego;</w:t>
            </w:r>
          </w:p>
          <w:p w:rsidR="006E2084" w:rsidRPr="00990B02" w:rsidRDefault="006E2084" w:rsidP="001B1F4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W przypadku gdy klucz licencyjny nie zostanie zaszyty w BIOS, Wykonawca zobowiązany jest dostarczyć spis wszystkich kluczy licencyjnych w formie elektronicznej w formie listy z przypisanym kluczem licencyjnym do numeru seryjnego urządzenia;</w:t>
            </w:r>
          </w:p>
          <w:p w:rsidR="006E2084" w:rsidRPr="00990B02" w:rsidRDefault="006E2084" w:rsidP="001B1F40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Komplet sterowników do poszczególnych podzespołów, w tym dla ww. systemu operacyjnego na nośniku CD-Rom lub </w:t>
            </w:r>
            <w:proofErr w:type="spellStart"/>
            <w:r w:rsidRPr="00990B02">
              <w:rPr>
                <w:sz w:val="20"/>
                <w:szCs w:val="20"/>
              </w:rPr>
              <w:t>DVD-ROM</w:t>
            </w:r>
            <w:proofErr w:type="spellEnd"/>
            <w:r w:rsidRPr="00990B02">
              <w:rPr>
                <w:sz w:val="20"/>
                <w:szCs w:val="20"/>
              </w:rPr>
              <w:t xml:space="preserve"> lub innych  równoważnych .</w:t>
            </w:r>
          </w:p>
        </w:tc>
        <w:tc>
          <w:tcPr>
            <w:tcW w:w="3112" w:type="dxa"/>
          </w:tcPr>
          <w:p w:rsidR="006E2084" w:rsidRPr="00990B02" w:rsidRDefault="006E2084" w:rsidP="001B1F40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724AF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Wsparcie techniczne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724AF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Dostęp do aktualnych sterowników zainstalowanych w komputerze oraz dostarczonych urządzeń, realizowany poprzez podanie modelu lub numeru seryjnego na stronie internetowej producenta urządzenia – Wykonawca zobowiązany będzie do podania adresu strony oraz sposobu realizacji wymagania (opis uzyskania w/w informacji).</w:t>
            </w:r>
          </w:p>
        </w:tc>
        <w:tc>
          <w:tcPr>
            <w:tcW w:w="3112" w:type="dxa"/>
          </w:tcPr>
          <w:p w:rsidR="006E2084" w:rsidRPr="00990B02" w:rsidRDefault="006E2084" w:rsidP="00B724AF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Urządzenia zabezpieczające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F12880">
            <w:pPr>
              <w:pStyle w:val="TableContents"/>
              <w:numPr>
                <w:ilvl w:val="0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Wbudowany moduł szyfrujący w standardzie TPM w wersji min. 2.0 z obsługującym oprogramowaniem;</w:t>
            </w:r>
          </w:p>
          <w:p w:rsidR="006E2084" w:rsidRPr="00990B02" w:rsidRDefault="006E2084">
            <w:pPr>
              <w:pStyle w:val="TableContents"/>
              <w:numPr>
                <w:ilvl w:val="0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Wbudowany czytnik linii papilarnych</w:t>
            </w:r>
          </w:p>
          <w:p w:rsidR="006E2084" w:rsidRPr="00990B02" w:rsidRDefault="006E2084" w:rsidP="00F12880">
            <w:pPr>
              <w:pStyle w:val="TableContents"/>
              <w:numPr>
                <w:ilvl w:val="0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Wbudowane gniazdo </w:t>
            </w:r>
            <w:proofErr w:type="spellStart"/>
            <w:r w:rsidRPr="00990B02">
              <w:rPr>
                <w:sz w:val="20"/>
                <w:szCs w:val="20"/>
              </w:rPr>
              <w:t>Kensington</w:t>
            </w:r>
            <w:proofErr w:type="spellEnd"/>
            <w:r w:rsidRPr="00990B02">
              <w:rPr>
                <w:sz w:val="20"/>
                <w:szCs w:val="20"/>
              </w:rPr>
              <w:t xml:space="preserve"> lub Noble lock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Warunki gwarancji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6B7A7B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 xml:space="preserve">Urządzenie objęte na terenie Polski min. 3 letnią </w:t>
            </w:r>
            <w:r w:rsidRPr="00990B02">
              <w:rPr>
                <w:rFonts w:ascii="Times New Roman" w:hAnsi="Times New Roman" w:cs="Times New Roman"/>
                <w:b/>
                <w:sz w:val="20"/>
                <w:szCs w:val="20"/>
              </w:rPr>
              <w:t>gwarancją producenta sprzętu</w:t>
            </w: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 xml:space="preserve">, ze skutecznym czasem naprawy do 3 dni roboczych, w miejscu użytkowania, od momentu zgłoszenia. </w:t>
            </w:r>
          </w:p>
          <w:p w:rsidR="006E2084" w:rsidRPr="00990B02" w:rsidRDefault="006E2084" w:rsidP="006B7A7B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Jeżeli dostarczony sprzęt wymaga rejestracji w systemie producenta obowiązek ten spoczywa na Wykonawcy.</w:t>
            </w:r>
          </w:p>
          <w:p w:rsidR="006E2084" w:rsidRPr="00990B02" w:rsidRDefault="006E2084" w:rsidP="006B7A7B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>Wraz z protokołem dostawy, Wykonawca przedłoży wypełnione gwarancje producenta na dostarczone urządzenia, będące zapewnieniem serwisu producenta w przypadku nie wywiązania się wykonawcy z zobowiązań gwarancyjnych. Przedłożona gwarancja musi być zgodna z okresem gwarancyjnym zadeklarowanym w ofercie Wykonawcy.</w:t>
            </w:r>
          </w:p>
          <w:p w:rsidR="006E2084" w:rsidRPr="00990B02" w:rsidRDefault="006E2084" w:rsidP="006B7A7B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hAnsi="Times New Roman" w:cs="Times New Roman"/>
                <w:sz w:val="20"/>
                <w:szCs w:val="20"/>
              </w:rPr>
              <w:t xml:space="preserve">Dyski twarde oraz inne nośniki danych w razie jakiejkolwiek awarii nie podlegają zwrotowi. </w:t>
            </w:r>
          </w:p>
          <w:p w:rsidR="006E2084" w:rsidRPr="00990B02" w:rsidRDefault="006E2084" w:rsidP="006B7A7B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lastRenderedPageBreak/>
              <w:t>Przy naprawie sprzętu, wymianie sprzętu na nowy, zastosowaniu sprzętu zastępczego lub wymianie niesprawnego dysku twardego, kompletny nośnik danych pozostaje w miejscu użytkowania sprzętu. Po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wcześniejszym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ustaleniu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i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wyrażeniu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zgody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przez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Zamawiającego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dopuszcza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się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możliwość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demontażu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przez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Wykonawcę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części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elektronicznych (interfejs komunikacyjny),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elementów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obudowy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dysku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z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wyłączeniem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nośnika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danych.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żadnym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przypadku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nośniki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danych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nie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będą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udostępniane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lub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zwracane</w:t>
            </w:r>
            <w:r w:rsidRPr="00990B02">
              <w:rPr>
                <w:rFonts w:eastAsia="Arial"/>
                <w:sz w:val="20"/>
                <w:szCs w:val="20"/>
              </w:rPr>
              <w:t xml:space="preserve"> </w:t>
            </w:r>
            <w:r w:rsidRPr="00990B02">
              <w:rPr>
                <w:sz w:val="20"/>
                <w:szCs w:val="20"/>
              </w:rPr>
              <w:t>Wykonawcy.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E2084" w:rsidRPr="00990B02" w:rsidRDefault="006E2084" w:rsidP="006B7A7B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2B512F">
        <w:tc>
          <w:tcPr>
            <w:tcW w:w="9546" w:type="dxa"/>
            <w:gridSpan w:val="4"/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E2084" w:rsidRPr="00990B02" w:rsidRDefault="006E2084">
            <w:pPr>
              <w:pStyle w:val="TableContents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0B02">
              <w:rPr>
                <w:b/>
                <w:sz w:val="20"/>
                <w:szCs w:val="20"/>
              </w:rPr>
              <w:lastRenderedPageBreak/>
              <w:t xml:space="preserve">Torba do komputera przenośnego </w:t>
            </w: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724B5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724B55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Torba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rozmiar – wymiary zewnętrzne dedykowane do rozmiaru urządzenia;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- rodzaj materiału – materiał trudno brudzący, nieprzemakalny (np. </w:t>
            </w:r>
            <w:proofErr w:type="spellStart"/>
            <w:r w:rsidRPr="00990B02">
              <w:rPr>
                <w:sz w:val="20"/>
                <w:szCs w:val="20"/>
              </w:rPr>
              <w:t>kodura</w:t>
            </w:r>
            <w:proofErr w:type="spellEnd"/>
            <w:r w:rsidRPr="00990B02">
              <w:rPr>
                <w:sz w:val="20"/>
                <w:szCs w:val="20"/>
              </w:rPr>
              <w:t xml:space="preserve"> 1680D pokryta </w:t>
            </w:r>
            <w:proofErr w:type="spellStart"/>
            <w:r w:rsidRPr="00990B02">
              <w:rPr>
                <w:sz w:val="20"/>
                <w:szCs w:val="20"/>
              </w:rPr>
              <w:t>PVC-F</w:t>
            </w:r>
            <w:proofErr w:type="spellEnd"/>
            <w:r w:rsidRPr="00990B02">
              <w:rPr>
                <w:sz w:val="20"/>
                <w:szCs w:val="20"/>
              </w:rPr>
              <w:t xml:space="preserve"> lub inny materiał o zbliżonych parametrach technicznych); 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kolor: czarny lub grafitowy lub ciemnoszary (popielaty) lub ciemnogranatowy;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ściany i boki komory torby zabezpieczające laptop powinny być wykonane ze wzmocnionego materiału konstrukcyjnego zapewniającego amortyzację i izolację termiczną przenoszonego urządzenia;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wyposażona w system dopasowania do wielkości sprzętu - wewnątrz komory przynajmniej jeden rzep lub pasek unieruchamiający laptopa;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komora na laptopa zamykana za pomocą podwójnego zamka błyskawicznego;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osobna komora na dokumenty i akcesoria wyposażona w system wewnętrznych kieszeni i przegródek zamykana zamkiem błyskawicznym;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dodatkowa kieszeń na zewnątrz torby zamykana zamkiem błyskawicznym;</w:t>
            </w:r>
          </w:p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regulowany pasek z podkładką na ramię (naramiennik), sprzączki paska i karabińczyki wykonane z elementów metalowych;</w:t>
            </w:r>
          </w:p>
          <w:p w:rsidR="006E2084" w:rsidRPr="00990B02" w:rsidRDefault="006E2084" w:rsidP="0084042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wyposażona w uchwyt (rączkę) do ręki.</w:t>
            </w:r>
          </w:p>
        </w:tc>
        <w:tc>
          <w:tcPr>
            <w:tcW w:w="3112" w:type="dxa"/>
          </w:tcPr>
          <w:p w:rsidR="006E2084" w:rsidRPr="00990B02" w:rsidRDefault="006E2084" w:rsidP="00383271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76883">
        <w:tc>
          <w:tcPr>
            <w:tcW w:w="9546" w:type="dxa"/>
            <w:gridSpan w:val="4"/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E2084" w:rsidRPr="00990B02" w:rsidRDefault="006E2084">
            <w:pPr>
              <w:pStyle w:val="TableContents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0B02">
              <w:rPr>
                <w:b/>
                <w:sz w:val="20"/>
                <w:szCs w:val="20"/>
              </w:rPr>
              <w:t xml:space="preserve">Stacja dokująca do komputera przenośnego </w:t>
            </w: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AB4C40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Stacja dokująca 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Dedykowana do oferowanego modelu komputera przenośnego – tego samego producenta, </w:t>
            </w:r>
            <w:r w:rsidRPr="00990B02">
              <w:rPr>
                <w:color w:val="000000" w:themeColor="text1"/>
                <w:sz w:val="20"/>
                <w:szCs w:val="20"/>
              </w:rPr>
              <w:t xml:space="preserve">posiadająca  dedykowane </w:t>
            </w:r>
            <w:r w:rsidRPr="00990B02">
              <w:rPr>
                <w:color w:val="000000" w:themeColor="text1"/>
                <w:sz w:val="20"/>
                <w:szCs w:val="20"/>
              </w:rPr>
              <w:lastRenderedPageBreak/>
              <w:t xml:space="preserve">złącza dokowania 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AB4C40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Porty zewnętrzne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990B02">
              <w:rPr>
                <w:color w:val="000000" w:themeColor="text1"/>
                <w:sz w:val="20"/>
                <w:szCs w:val="20"/>
              </w:rPr>
              <w:t>min. 3 portów USB typ A (w tym co najmniej 2 x USB 3.0, 1x USB 3.x)</w:t>
            </w:r>
          </w:p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min. 1 x RJ45 10/100/1000;</w:t>
            </w:r>
          </w:p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2 x </w:t>
            </w:r>
            <w:proofErr w:type="spellStart"/>
            <w:r w:rsidRPr="00990B02">
              <w:rPr>
                <w:sz w:val="20"/>
                <w:szCs w:val="20"/>
              </w:rPr>
              <w:t>DisplayPort</w:t>
            </w:r>
            <w:proofErr w:type="spellEnd"/>
            <w:r w:rsidRPr="00990B02">
              <w:rPr>
                <w:sz w:val="20"/>
                <w:szCs w:val="20"/>
              </w:rPr>
              <w:t xml:space="preserve"> </w:t>
            </w:r>
          </w:p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min. 1 x </w:t>
            </w:r>
            <w:proofErr w:type="spellStart"/>
            <w:r w:rsidRPr="00990B02">
              <w:rPr>
                <w:sz w:val="20"/>
                <w:szCs w:val="20"/>
              </w:rPr>
              <w:t>D-Sub</w:t>
            </w:r>
            <w:proofErr w:type="spellEnd"/>
            <w:r w:rsidRPr="00990B02">
              <w:rPr>
                <w:sz w:val="20"/>
                <w:szCs w:val="20"/>
              </w:rPr>
              <w:t xml:space="preserve"> Video</w:t>
            </w:r>
          </w:p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złącze słuchawkowe/mikrofonowe </w:t>
            </w:r>
            <w:proofErr w:type="spellStart"/>
            <w:r w:rsidRPr="00990B02">
              <w:rPr>
                <w:sz w:val="20"/>
                <w:szCs w:val="20"/>
              </w:rPr>
              <w:t>line-out</w:t>
            </w:r>
            <w:proofErr w:type="spellEnd"/>
            <w:r w:rsidRPr="00990B02">
              <w:rPr>
                <w:sz w:val="20"/>
                <w:szCs w:val="20"/>
              </w:rPr>
              <w:t>/</w:t>
            </w:r>
            <w:proofErr w:type="spellStart"/>
            <w:r w:rsidRPr="00990B02">
              <w:rPr>
                <w:sz w:val="20"/>
                <w:szCs w:val="20"/>
              </w:rPr>
              <w:t>line-in</w:t>
            </w:r>
            <w:proofErr w:type="spellEnd"/>
            <w:r w:rsidRPr="00990B02">
              <w:rPr>
                <w:sz w:val="20"/>
                <w:szCs w:val="20"/>
              </w:rPr>
              <w:t xml:space="preserve"> – dopuszczalne złącze typu COMBO</w:t>
            </w:r>
          </w:p>
          <w:p w:rsidR="006E2084" w:rsidRPr="00990B02" w:rsidRDefault="006E2084" w:rsidP="00811AF8">
            <w:pPr>
              <w:pStyle w:val="TableContents"/>
              <w:numPr>
                <w:ilvl w:val="0"/>
                <w:numId w:val="2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gniazdo zabezpieczeń </w:t>
            </w:r>
            <w:proofErr w:type="spellStart"/>
            <w:r w:rsidRPr="00990B02">
              <w:rPr>
                <w:sz w:val="20"/>
                <w:szCs w:val="20"/>
              </w:rPr>
              <w:t>Kensington</w:t>
            </w:r>
            <w:proofErr w:type="spellEnd"/>
            <w:r w:rsidRPr="00990B02">
              <w:rPr>
                <w:sz w:val="20"/>
                <w:szCs w:val="20"/>
              </w:rPr>
              <w:t xml:space="preserve"> lub Noble lock</w:t>
            </w:r>
          </w:p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Wymagana liczba portów nie może być osiągnięta w wyniku stosowania konwerterów, przejściówek itp.</w:t>
            </w:r>
          </w:p>
        </w:tc>
        <w:tc>
          <w:tcPr>
            <w:tcW w:w="3112" w:type="dxa"/>
          </w:tcPr>
          <w:p w:rsidR="006E2084" w:rsidRPr="00990B02" w:rsidRDefault="006E2084" w:rsidP="006E2084">
            <w:pPr>
              <w:pStyle w:val="TableContents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906DED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906DED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Wymagania dodatkowe 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Dołączona do stacji linka zabezpieczająca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906DED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906DED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Zasilanie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zasilacz uniwersalny 220 - 240V lub</w:t>
            </w:r>
          </w:p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- kabel zasilający dedykowany przez producenta zakończony z drugiej standardowym wtykiem standardowym (wykorzystywanym w Polsce).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906DED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906DED">
            <w:pPr>
              <w:pStyle w:val="TableContents"/>
              <w:spacing w:before="120" w:after="120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>Warunki gwarancji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  <w:r w:rsidRPr="00990B02">
              <w:rPr>
                <w:sz w:val="20"/>
                <w:szCs w:val="20"/>
              </w:rPr>
              <w:t xml:space="preserve">Urządzenie objęte na terenie Polski min. roczną gwarancją </w:t>
            </w:r>
            <w:r w:rsidRPr="00990B02">
              <w:rPr>
                <w:b/>
                <w:sz w:val="20"/>
                <w:szCs w:val="20"/>
              </w:rPr>
              <w:t>producenta sprzętu</w:t>
            </w:r>
            <w:r w:rsidRPr="00990B0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2" w:type="dxa"/>
          </w:tcPr>
          <w:p w:rsidR="006E2084" w:rsidRPr="00990B02" w:rsidRDefault="006E2084" w:rsidP="00811AF8">
            <w:pPr>
              <w:pStyle w:val="TableContent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E2084" w:rsidRPr="00990B02" w:rsidTr="003C642D">
        <w:tc>
          <w:tcPr>
            <w:tcW w:w="9546" w:type="dxa"/>
            <w:gridSpan w:val="4"/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E2084" w:rsidRPr="00990B02" w:rsidRDefault="006E2084">
            <w:pPr>
              <w:pStyle w:val="TableContents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0B02">
              <w:rPr>
                <w:b/>
                <w:sz w:val="20"/>
                <w:szCs w:val="20"/>
              </w:rPr>
              <w:t xml:space="preserve">Mysz komputerowa </w:t>
            </w:r>
            <w:r>
              <w:rPr>
                <w:b/>
                <w:sz w:val="20"/>
                <w:szCs w:val="20"/>
              </w:rPr>
              <w:t>do komputera przenośnego</w:t>
            </w: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E30F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Optyczna, przewodowa - tego samego producenta co komputer przenośny.</w:t>
            </w:r>
          </w:p>
        </w:tc>
        <w:tc>
          <w:tcPr>
            <w:tcW w:w="3112" w:type="dxa"/>
          </w:tcPr>
          <w:p w:rsidR="006E2084" w:rsidRPr="00990B02" w:rsidRDefault="006E2084" w:rsidP="00E30F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USB 2.0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pracy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5543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800 </w:t>
            </w:r>
            <w:proofErr w:type="spellStart"/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112" w:type="dxa"/>
          </w:tcPr>
          <w:p w:rsidR="006E2084" w:rsidRPr="00990B02" w:rsidRDefault="006E2084" w:rsidP="005543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Przeznaczona dla lewo i prawo ręcznych, rolka z przyciskiem umożliwiająca przewijanie ekranu.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Liczba przycisków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2D23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3112" w:type="dxa"/>
          </w:tcPr>
          <w:p w:rsidR="006E2084" w:rsidRPr="00990B02" w:rsidRDefault="006E2084" w:rsidP="002D23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rolek 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Min. 1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Kompatybilność ze standardowym sterownikiem Windows 7, 8, 10 lub dedykowane sterowniki zgodne z tymi wersjami systemu Windows.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przewodu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 180 cm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3112" w:type="dxa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CB3D05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CB3D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0610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Min. 1 rok</w:t>
            </w:r>
          </w:p>
        </w:tc>
        <w:tc>
          <w:tcPr>
            <w:tcW w:w="3112" w:type="dxa"/>
          </w:tcPr>
          <w:p w:rsidR="006E2084" w:rsidRPr="00990B02" w:rsidRDefault="006E2084" w:rsidP="000610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0B3CD4">
        <w:tc>
          <w:tcPr>
            <w:tcW w:w="9546" w:type="dxa"/>
            <w:gridSpan w:val="4"/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E2084" w:rsidRPr="00990B02" w:rsidRDefault="006E2084">
            <w:pPr>
              <w:pStyle w:val="TableContents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0B02">
              <w:rPr>
                <w:b/>
                <w:sz w:val="20"/>
                <w:szCs w:val="20"/>
              </w:rPr>
              <w:t xml:space="preserve">Podkładka pod mysz </w:t>
            </w: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żelowa pod mysz</w:t>
            </w:r>
          </w:p>
        </w:tc>
        <w:tc>
          <w:tcPr>
            <w:tcW w:w="3112" w:type="dxa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Czarny lub granatowy (ciemnoniebieski) lub ciemnoszary  </w:t>
            </w:r>
          </w:p>
        </w:tc>
        <w:tc>
          <w:tcPr>
            <w:tcW w:w="3112" w:type="dxa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Kształt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Owalny lub prostokątny</w:t>
            </w:r>
          </w:p>
        </w:tc>
        <w:tc>
          <w:tcPr>
            <w:tcW w:w="3112" w:type="dxa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Powierzchnia użytkowa</w:t>
            </w:r>
          </w:p>
          <w:p w:rsidR="006E2084" w:rsidRPr="00990B02" w:rsidRDefault="006E2084" w:rsidP="00904F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( szer. [cm] x gł. [cm] )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904F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Minimalne wymiary powierzchni użytkowej podkładki o kształcie prostokątnym [cm] 23 x 19</w:t>
            </w:r>
          </w:p>
          <w:p w:rsidR="006E2084" w:rsidRPr="00990B02" w:rsidRDefault="006E2084" w:rsidP="00D03B9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Minimalna powierzchnia użytkowa 437 cm</w:t>
            </w: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2" w:type="dxa"/>
          </w:tcPr>
          <w:p w:rsidR="006E2084" w:rsidRPr="00990B02" w:rsidRDefault="006E2084" w:rsidP="00904F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Grubość podkładki 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904F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Minimum 4,5 mm.</w:t>
            </w:r>
          </w:p>
        </w:tc>
        <w:tc>
          <w:tcPr>
            <w:tcW w:w="3112" w:type="dxa"/>
          </w:tcPr>
          <w:p w:rsidR="006E2084" w:rsidRPr="00990B02" w:rsidRDefault="006E2084" w:rsidP="00904F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 wypełnienia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D03B9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Żel</w:t>
            </w:r>
          </w:p>
        </w:tc>
        <w:tc>
          <w:tcPr>
            <w:tcW w:w="3112" w:type="dxa"/>
          </w:tcPr>
          <w:p w:rsidR="006E2084" w:rsidRPr="00990B02" w:rsidRDefault="006E2084" w:rsidP="00D03B9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Poduszka żelowa pod nadgarstek zapewniająca komfort podczas dłuższej pracy,</w:t>
            </w:r>
          </w:p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Spód podkładki wykonany z materiału antypoślizgowego, zapewniający utrzymanie podkładki w miejscu.</w:t>
            </w:r>
          </w:p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Dedykowana dla myszy optycznych i laserowych.</w:t>
            </w:r>
          </w:p>
        </w:tc>
        <w:tc>
          <w:tcPr>
            <w:tcW w:w="3112" w:type="dxa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Przeznaczona dla osób lewo i prawo ręcznych, dopasowująca się do kształtu nadgarstka.</w:t>
            </w:r>
          </w:p>
        </w:tc>
        <w:tc>
          <w:tcPr>
            <w:tcW w:w="3112" w:type="dxa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Inne parametry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8117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Powierzchnia użytkowa pokryta apreturą ułatwiającą łatwe czyszczenie zabrudzeń lub inną równoważną powłoką typu „</w:t>
            </w:r>
            <w:proofErr w:type="spellStart"/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easy</w:t>
            </w:r>
            <w:proofErr w:type="spellEnd"/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”. </w:t>
            </w:r>
          </w:p>
        </w:tc>
        <w:tc>
          <w:tcPr>
            <w:tcW w:w="3112" w:type="dxa"/>
          </w:tcPr>
          <w:p w:rsidR="006E2084" w:rsidRPr="00990B02" w:rsidRDefault="006E2084" w:rsidP="008117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084" w:rsidRPr="00990B02" w:rsidTr="006E2084">
        <w:tc>
          <w:tcPr>
            <w:tcW w:w="589" w:type="dxa"/>
            <w:shd w:val="clear" w:color="auto" w:fill="auto"/>
            <w:tcMar>
              <w:left w:w="68" w:type="dxa"/>
            </w:tcMar>
            <w:vAlign w:val="center"/>
          </w:tcPr>
          <w:p w:rsidR="006E2084" w:rsidRPr="00990B02" w:rsidRDefault="006E2084" w:rsidP="00AB4C40">
            <w:pPr>
              <w:numPr>
                <w:ilvl w:val="0"/>
                <w:numId w:val="1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tcMar>
              <w:left w:w="98" w:type="dxa"/>
            </w:tcMar>
            <w:vAlign w:val="center"/>
          </w:tcPr>
          <w:p w:rsidR="006E2084" w:rsidRPr="00990B02" w:rsidRDefault="006E2084" w:rsidP="00B91D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665" w:type="dxa"/>
            <w:shd w:val="clear" w:color="auto" w:fill="auto"/>
            <w:tcMar>
              <w:left w:w="98" w:type="dxa"/>
            </w:tcMar>
          </w:tcPr>
          <w:p w:rsidR="006E2084" w:rsidRPr="00990B02" w:rsidRDefault="006E2084" w:rsidP="000610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02">
              <w:rPr>
                <w:rFonts w:ascii="Times New Roman" w:eastAsia="Times New Roman" w:hAnsi="Times New Roman" w:cs="Times New Roman"/>
                <w:sz w:val="20"/>
                <w:szCs w:val="20"/>
              </w:rPr>
              <w:t>Min. 1 rok</w:t>
            </w:r>
          </w:p>
        </w:tc>
        <w:tc>
          <w:tcPr>
            <w:tcW w:w="3112" w:type="dxa"/>
          </w:tcPr>
          <w:p w:rsidR="006E2084" w:rsidRPr="00990B02" w:rsidRDefault="006E2084" w:rsidP="000610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153B" w:rsidRPr="00AF3650" w:rsidRDefault="00D1153B" w:rsidP="00D1153B">
      <w:pPr>
        <w:widowControl w:val="0"/>
        <w:numPr>
          <w:ilvl w:val="0"/>
          <w:numId w:val="24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Oferowany sprzęt musi </w:t>
      </w:r>
      <w:r w:rsidRPr="00AF36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pochodzić od jednego producenta</w:t>
      </w:r>
      <w:r w:rsidRPr="00AF3650">
        <w:rPr>
          <w:rFonts w:ascii="Times New Roman" w:eastAsia="Times New Roman" w:hAnsi="Times New Roman" w:cs="Times New Roman"/>
          <w:sz w:val="20"/>
          <w:szCs w:val="20"/>
          <w:lang w:eastAsia="pl-PL"/>
        </w:rPr>
        <w:t>, posiadać wszystkie wymagane funkcje i być fabrycznie nowy, w szczególności nieużywany, nieregenerowany, nienaprawiany.</w:t>
      </w:r>
    </w:p>
    <w:p w:rsidR="00D1153B" w:rsidRPr="00D1153B" w:rsidRDefault="00D1153B" w:rsidP="00D1153B">
      <w:pPr>
        <w:widowControl w:val="0"/>
        <w:numPr>
          <w:ilvl w:val="0"/>
          <w:numId w:val="24"/>
        </w:numPr>
        <w:spacing w:before="60" w:after="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365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Oferowany sprzęt komputerowy musi być wyprodukowany </w:t>
      </w:r>
      <w:r w:rsidRPr="00AF365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nie wcześniej</w:t>
      </w:r>
      <w:r w:rsidRPr="00AF365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(nie może być starszy) niż 6 miesięcy przed datą dostawy</w:t>
      </w:r>
      <w:r w:rsidRPr="00D1153B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D1153B" w:rsidRPr="00D1153B" w:rsidRDefault="00D1153B" w:rsidP="00D1153B">
      <w:pPr>
        <w:widowControl w:val="0"/>
        <w:numPr>
          <w:ilvl w:val="0"/>
          <w:numId w:val="24"/>
        </w:numPr>
        <w:spacing w:before="60" w:after="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5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w opisie przedmiotu zamówienia wskazuje wyłącznie jako przykładowy wzór konkretnego producenta. Zamawiający dopuszcza zastosowanie sprzętu równoważnego, poprzez który należy rozumieć sprzęt i oferowane oprogramowanie o parametrach nie gorszych od opisanych jako wymagane, umożliwiające wykorzystanie urządzeń, w takim samym zakresie i stopniu skomplikowania, co sprzęt i oprogramowanie określone w opisie przedmiotu zamówienia.</w:t>
      </w:r>
    </w:p>
    <w:p w:rsidR="00D1153B" w:rsidRPr="00D1153B" w:rsidRDefault="00D1153B" w:rsidP="00D1153B">
      <w:pPr>
        <w:widowControl w:val="0"/>
        <w:tabs>
          <w:tab w:val="left" w:pos="910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1153B" w:rsidRPr="00D1153B" w:rsidRDefault="00D1153B" w:rsidP="00D1153B">
      <w:pPr>
        <w:tabs>
          <w:tab w:val="center" w:pos="694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15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……………………………………….. </w:t>
      </w:r>
      <w:r w:rsidRPr="00D1153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</w:t>
      </w:r>
      <w:r w:rsidRPr="00D115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...........................................................</w:t>
      </w:r>
    </w:p>
    <w:p w:rsidR="00D1153B" w:rsidRPr="00D1153B" w:rsidRDefault="00D1153B" w:rsidP="00D1153B">
      <w:pPr>
        <w:tabs>
          <w:tab w:val="center" w:pos="1701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D1153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(miejscowość, data) </w:t>
      </w:r>
      <w:r w:rsidRPr="00D1153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  <w:t>(imię, nazwisko i podpis)</w:t>
      </w:r>
    </w:p>
    <w:p w:rsidR="00D1153B" w:rsidRPr="00D1153B" w:rsidRDefault="00D1153B" w:rsidP="00D1153B">
      <w:pPr>
        <w:tabs>
          <w:tab w:val="center" w:pos="6946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D115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53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Podpis osoby figurującej lub osób figurujących w rejestrach </w:t>
      </w:r>
    </w:p>
    <w:p w:rsidR="00D1153B" w:rsidRPr="00D1153B" w:rsidRDefault="00D1153B" w:rsidP="00D1153B">
      <w:pPr>
        <w:tabs>
          <w:tab w:val="center" w:pos="6946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D1153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  <w:t xml:space="preserve">uprawnionych do zaciągania zobowiązań w imieniu Wykonawcy </w:t>
      </w:r>
    </w:p>
    <w:p w:rsidR="00474CF4" w:rsidRPr="00D82402" w:rsidRDefault="00D1153B" w:rsidP="00D82402">
      <w:pPr>
        <w:tabs>
          <w:tab w:val="center" w:pos="6946"/>
          <w:tab w:val="center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D1153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  <w:t>lub we właściwym pełnomocnictwie.</w:t>
      </w:r>
    </w:p>
    <w:sectPr w:rsidR="00474CF4" w:rsidRPr="00D82402" w:rsidSect="00F00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132A5" w16cid:durableId="1F3793FD"/>
  <w16cid:commentId w16cid:paraId="171D9F58" w16cid:durableId="1F3793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4C" w:rsidRDefault="00C3484C" w:rsidP="00724B55">
      <w:pPr>
        <w:spacing w:after="0" w:line="240" w:lineRule="auto"/>
      </w:pPr>
      <w:r>
        <w:separator/>
      </w:r>
    </w:p>
  </w:endnote>
  <w:endnote w:type="continuationSeparator" w:id="0">
    <w:p w:rsidR="00C3484C" w:rsidRDefault="00C3484C" w:rsidP="0072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733058"/>
      <w:docPartObj>
        <w:docPartGallery w:val="Page Numbers (Bottom of Page)"/>
        <w:docPartUnique/>
      </w:docPartObj>
    </w:sdtPr>
    <w:sdtContent>
      <w:p w:rsidR="00724B55" w:rsidRPr="00B32246" w:rsidRDefault="00D1153B" w:rsidP="00724B55">
        <w:pPr>
          <w:pStyle w:val="Stopka"/>
        </w:pPr>
        <w:r w:rsidRPr="00D1153B">
          <w:rPr>
            <w:rFonts w:ascii="Times New Roman" w:hAnsi="Times New Roman" w:cs="Times New Roman"/>
            <w:b/>
          </w:rPr>
          <w:t>PN/39/2018</w:t>
        </w:r>
        <w:r w:rsidR="00724B55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724B55">
          <w:rPr>
            <w:rFonts w:ascii="Times New Roman" w:hAnsi="Times New Roman" w:cs="Times New Roman"/>
            <w:b/>
            <w:sz w:val="20"/>
            <w:szCs w:val="20"/>
          </w:rPr>
          <w:tab/>
          <w:t xml:space="preserve">str. </w:t>
        </w:r>
        <w:r w:rsidR="0044370D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724B55">
          <w:rPr>
            <w:rFonts w:ascii="Times New Roman" w:hAnsi="Times New Roman" w:cs="Times New Roman"/>
            <w:b/>
            <w:sz w:val="20"/>
            <w:szCs w:val="20"/>
          </w:rPr>
          <w:instrText xml:space="preserve"> PAGE  </w:instrText>
        </w:r>
        <w:r w:rsidR="0044370D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82402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44370D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4C" w:rsidRDefault="00C3484C" w:rsidP="00724B55">
      <w:pPr>
        <w:spacing w:after="0" w:line="240" w:lineRule="auto"/>
      </w:pPr>
      <w:r>
        <w:separator/>
      </w:r>
    </w:p>
  </w:footnote>
  <w:footnote w:type="continuationSeparator" w:id="0">
    <w:p w:rsidR="00C3484C" w:rsidRDefault="00C3484C" w:rsidP="0072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BE" w:rsidRDefault="00431DBE" w:rsidP="00431DBE">
    <w:pPr>
      <w:pStyle w:val="Gwka"/>
      <w:jc w:val="center"/>
    </w:pPr>
    <w:r>
      <w:rPr>
        <w:rFonts w:ascii="Times New Roman" w:hAnsi="Times New Roman"/>
        <w:b/>
        <w:bCs/>
      </w:rPr>
      <w:t>Izba Administracji Skarbowej w Warszawie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>
    <w:nsid w:val="0B6C4D60"/>
    <w:multiLevelType w:val="multilevel"/>
    <w:tmpl w:val="D93C6E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4F"/>
    <w:multiLevelType w:val="hybridMultilevel"/>
    <w:tmpl w:val="BCC6A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D7F"/>
    <w:multiLevelType w:val="hybridMultilevel"/>
    <w:tmpl w:val="A96E7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17376"/>
    <w:multiLevelType w:val="hybridMultilevel"/>
    <w:tmpl w:val="BEBE034E"/>
    <w:lvl w:ilvl="0" w:tplc="7DA0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E00"/>
    <w:multiLevelType w:val="hybridMultilevel"/>
    <w:tmpl w:val="64DE04D0"/>
    <w:lvl w:ilvl="0" w:tplc="5AB68944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271E6652"/>
    <w:multiLevelType w:val="hybridMultilevel"/>
    <w:tmpl w:val="5BBE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04D"/>
    <w:multiLevelType w:val="hybridMultilevel"/>
    <w:tmpl w:val="2E52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2E00"/>
    <w:multiLevelType w:val="hybridMultilevel"/>
    <w:tmpl w:val="8B42C972"/>
    <w:lvl w:ilvl="0" w:tplc="B570249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A6E15"/>
    <w:multiLevelType w:val="hybridMultilevel"/>
    <w:tmpl w:val="9DD2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077A"/>
    <w:multiLevelType w:val="hybridMultilevel"/>
    <w:tmpl w:val="51D8264E"/>
    <w:lvl w:ilvl="0" w:tplc="22F68DE0">
      <w:numFmt w:val="bullet"/>
      <w:lvlText w:val="•"/>
      <w:lvlJc w:val="left"/>
      <w:pPr>
        <w:ind w:left="1260" w:hanging="90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F331B"/>
    <w:multiLevelType w:val="hybridMultilevel"/>
    <w:tmpl w:val="AE72C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96174"/>
    <w:multiLevelType w:val="hybridMultilevel"/>
    <w:tmpl w:val="BFBAF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8B4345"/>
    <w:multiLevelType w:val="hybridMultilevel"/>
    <w:tmpl w:val="D24E8324"/>
    <w:lvl w:ilvl="0" w:tplc="7DA0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07558"/>
    <w:multiLevelType w:val="hybridMultilevel"/>
    <w:tmpl w:val="E05C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64F4"/>
    <w:multiLevelType w:val="hybridMultilevel"/>
    <w:tmpl w:val="684E1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BF46AC"/>
    <w:multiLevelType w:val="hybridMultilevel"/>
    <w:tmpl w:val="0456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E2299"/>
    <w:multiLevelType w:val="hybridMultilevel"/>
    <w:tmpl w:val="A8F68942"/>
    <w:lvl w:ilvl="0" w:tplc="101C4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F2854"/>
    <w:multiLevelType w:val="hybridMultilevel"/>
    <w:tmpl w:val="9272B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E98"/>
    <w:multiLevelType w:val="hybridMultilevel"/>
    <w:tmpl w:val="C1127E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E3992"/>
    <w:multiLevelType w:val="multilevel"/>
    <w:tmpl w:val="D93C6E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B164B"/>
    <w:multiLevelType w:val="hybridMultilevel"/>
    <w:tmpl w:val="F710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2C41"/>
    <w:multiLevelType w:val="hybridMultilevel"/>
    <w:tmpl w:val="DDEAF2C4"/>
    <w:lvl w:ilvl="0" w:tplc="04150005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7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 w:numId="19">
    <w:abstractNumId w:val="19"/>
  </w:num>
  <w:num w:numId="20">
    <w:abstractNumId w:val="4"/>
  </w:num>
  <w:num w:numId="21">
    <w:abstractNumId w:val="13"/>
  </w:num>
  <w:num w:numId="22">
    <w:abstractNumId w:val="22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A4"/>
    <w:rsid w:val="00010BC5"/>
    <w:rsid w:val="0001261C"/>
    <w:rsid w:val="00016DC9"/>
    <w:rsid w:val="0002104C"/>
    <w:rsid w:val="00022D4D"/>
    <w:rsid w:val="00024836"/>
    <w:rsid w:val="00026B87"/>
    <w:rsid w:val="000377EA"/>
    <w:rsid w:val="00053291"/>
    <w:rsid w:val="00053EC9"/>
    <w:rsid w:val="00056928"/>
    <w:rsid w:val="000610F3"/>
    <w:rsid w:val="0006237F"/>
    <w:rsid w:val="00066E0B"/>
    <w:rsid w:val="00067D35"/>
    <w:rsid w:val="000741CE"/>
    <w:rsid w:val="00076378"/>
    <w:rsid w:val="00080DB6"/>
    <w:rsid w:val="000839A4"/>
    <w:rsid w:val="000844BC"/>
    <w:rsid w:val="000957A9"/>
    <w:rsid w:val="000A725C"/>
    <w:rsid w:val="000C0D1E"/>
    <w:rsid w:val="000D022A"/>
    <w:rsid w:val="000D7196"/>
    <w:rsid w:val="000E0406"/>
    <w:rsid w:val="000E73DC"/>
    <w:rsid w:val="000F1AA7"/>
    <w:rsid w:val="001032C1"/>
    <w:rsid w:val="0011281C"/>
    <w:rsid w:val="0011759A"/>
    <w:rsid w:val="00120FF7"/>
    <w:rsid w:val="00125991"/>
    <w:rsid w:val="001420CD"/>
    <w:rsid w:val="0015241B"/>
    <w:rsid w:val="001542C3"/>
    <w:rsid w:val="00154C1F"/>
    <w:rsid w:val="001922C3"/>
    <w:rsid w:val="001923D2"/>
    <w:rsid w:val="00193D1F"/>
    <w:rsid w:val="001A2D8E"/>
    <w:rsid w:val="001A3DB9"/>
    <w:rsid w:val="001A4F23"/>
    <w:rsid w:val="001A5545"/>
    <w:rsid w:val="001A5F78"/>
    <w:rsid w:val="001B1186"/>
    <w:rsid w:val="001B1F40"/>
    <w:rsid w:val="001B5870"/>
    <w:rsid w:val="001C3FC8"/>
    <w:rsid w:val="001E2AF1"/>
    <w:rsid w:val="001E335B"/>
    <w:rsid w:val="001E4CB4"/>
    <w:rsid w:val="001F28A2"/>
    <w:rsid w:val="001F56EE"/>
    <w:rsid w:val="001F5ACD"/>
    <w:rsid w:val="00201431"/>
    <w:rsid w:val="00201FEC"/>
    <w:rsid w:val="00202C91"/>
    <w:rsid w:val="00205F5C"/>
    <w:rsid w:val="002066A7"/>
    <w:rsid w:val="00211B2A"/>
    <w:rsid w:val="0021490A"/>
    <w:rsid w:val="00233F8D"/>
    <w:rsid w:val="00234172"/>
    <w:rsid w:val="00253993"/>
    <w:rsid w:val="00256433"/>
    <w:rsid w:val="002604CB"/>
    <w:rsid w:val="002800F4"/>
    <w:rsid w:val="002829E7"/>
    <w:rsid w:val="002A5E0F"/>
    <w:rsid w:val="002B3049"/>
    <w:rsid w:val="002B35B9"/>
    <w:rsid w:val="002B5545"/>
    <w:rsid w:val="002B57D1"/>
    <w:rsid w:val="002B63B9"/>
    <w:rsid w:val="002C6B62"/>
    <w:rsid w:val="002D2349"/>
    <w:rsid w:val="002E0190"/>
    <w:rsid w:val="002E3CF7"/>
    <w:rsid w:val="002F5D86"/>
    <w:rsid w:val="002F6F19"/>
    <w:rsid w:val="0030376F"/>
    <w:rsid w:val="0031112B"/>
    <w:rsid w:val="003159AD"/>
    <w:rsid w:val="00320278"/>
    <w:rsid w:val="003209BE"/>
    <w:rsid w:val="003263C3"/>
    <w:rsid w:val="003358C7"/>
    <w:rsid w:val="00352EC5"/>
    <w:rsid w:val="0036607B"/>
    <w:rsid w:val="00372903"/>
    <w:rsid w:val="0037322E"/>
    <w:rsid w:val="00373707"/>
    <w:rsid w:val="003775BD"/>
    <w:rsid w:val="003808D5"/>
    <w:rsid w:val="00383271"/>
    <w:rsid w:val="003937CE"/>
    <w:rsid w:val="003A087A"/>
    <w:rsid w:val="003B68EE"/>
    <w:rsid w:val="003C71B6"/>
    <w:rsid w:val="003D2BCC"/>
    <w:rsid w:val="003E6019"/>
    <w:rsid w:val="003F2367"/>
    <w:rsid w:val="003F3113"/>
    <w:rsid w:val="003F5175"/>
    <w:rsid w:val="0040134D"/>
    <w:rsid w:val="00402886"/>
    <w:rsid w:val="0040312D"/>
    <w:rsid w:val="00407C4D"/>
    <w:rsid w:val="00416C23"/>
    <w:rsid w:val="004211A1"/>
    <w:rsid w:val="00421200"/>
    <w:rsid w:val="004222F9"/>
    <w:rsid w:val="00424EBC"/>
    <w:rsid w:val="00426AC6"/>
    <w:rsid w:val="00426C47"/>
    <w:rsid w:val="00430CB2"/>
    <w:rsid w:val="00431DBE"/>
    <w:rsid w:val="0044370D"/>
    <w:rsid w:val="00443950"/>
    <w:rsid w:val="004541D5"/>
    <w:rsid w:val="00457C6D"/>
    <w:rsid w:val="0046531C"/>
    <w:rsid w:val="0047182B"/>
    <w:rsid w:val="00471954"/>
    <w:rsid w:val="00474CF4"/>
    <w:rsid w:val="00480A22"/>
    <w:rsid w:val="004A380E"/>
    <w:rsid w:val="004B306C"/>
    <w:rsid w:val="004C4782"/>
    <w:rsid w:val="004C6012"/>
    <w:rsid w:val="004F4E6A"/>
    <w:rsid w:val="004F562F"/>
    <w:rsid w:val="005050E9"/>
    <w:rsid w:val="005069B3"/>
    <w:rsid w:val="00514041"/>
    <w:rsid w:val="0051660D"/>
    <w:rsid w:val="00526127"/>
    <w:rsid w:val="00533668"/>
    <w:rsid w:val="00535C01"/>
    <w:rsid w:val="00552AB8"/>
    <w:rsid w:val="00554347"/>
    <w:rsid w:val="00557D4F"/>
    <w:rsid w:val="00571CA4"/>
    <w:rsid w:val="005818CD"/>
    <w:rsid w:val="00584DA0"/>
    <w:rsid w:val="00585338"/>
    <w:rsid w:val="00595D33"/>
    <w:rsid w:val="005A4C6D"/>
    <w:rsid w:val="005B293E"/>
    <w:rsid w:val="005B512F"/>
    <w:rsid w:val="005C6351"/>
    <w:rsid w:val="005E0CF7"/>
    <w:rsid w:val="005E2A46"/>
    <w:rsid w:val="005E4097"/>
    <w:rsid w:val="005E689F"/>
    <w:rsid w:val="005E6BE2"/>
    <w:rsid w:val="005F3D2E"/>
    <w:rsid w:val="005F43E1"/>
    <w:rsid w:val="0060141E"/>
    <w:rsid w:val="006018C3"/>
    <w:rsid w:val="00602269"/>
    <w:rsid w:val="00613F5F"/>
    <w:rsid w:val="00626DF3"/>
    <w:rsid w:val="00645ECC"/>
    <w:rsid w:val="006517CD"/>
    <w:rsid w:val="00657E67"/>
    <w:rsid w:val="00661522"/>
    <w:rsid w:val="00663ADD"/>
    <w:rsid w:val="00674A97"/>
    <w:rsid w:val="0067641D"/>
    <w:rsid w:val="006771F3"/>
    <w:rsid w:val="006A0485"/>
    <w:rsid w:val="006B7A7B"/>
    <w:rsid w:val="006C1B79"/>
    <w:rsid w:val="006C6317"/>
    <w:rsid w:val="006D6CFE"/>
    <w:rsid w:val="006E04CD"/>
    <w:rsid w:val="006E2084"/>
    <w:rsid w:val="00702B22"/>
    <w:rsid w:val="007070F4"/>
    <w:rsid w:val="007120DB"/>
    <w:rsid w:val="0071273A"/>
    <w:rsid w:val="00712DFE"/>
    <w:rsid w:val="00715D87"/>
    <w:rsid w:val="0072248E"/>
    <w:rsid w:val="00724B55"/>
    <w:rsid w:val="00727B41"/>
    <w:rsid w:val="007352A7"/>
    <w:rsid w:val="00736B18"/>
    <w:rsid w:val="00752194"/>
    <w:rsid w:val="00753AFD"/>
    <w:rsid w:val="00755702"/>
    <w:rsid w:val="00757B6D"/>
    <w:rsid w:val="00767960"/>
    <w:rsid w:val="00770015"/>
    <w:rsid w:val="007727BE"/>
    <w:rsid w:val="007733DD"/>
    <w:rsid w:val="00774141"/>
    <w:rsid w:val="00776590"/>
    <w:rsid w:val="007868C6"/>
    <w:rsid w:val="00790377"/>
    <w:rsid w:val="007944F4"/>
    <w:rsid w:val="007A095A"/>
    <w:rsid w:val="007A226B"/>
    <w:rsid w:val="007C1BDD"/>
    <w:rsid w:val="007C4E3E"/>
    <w:rsid w:val="007C5B1A"/>
    <w:rsid w:val="007D2857"/>
    <w:rsid w:val="007E7CBB"/>
    <w:rsid w:val="007F1388"/>
    <w:rsid w:val="007F32CB"/>
    <w:rsid w:val="007F7DB8"/>
    <w:rsid w:val="008054D8"/>
    <w:rsid w:val="0080757C"/>
    <w:rsid w:val="0081174C"/>
    <w:rsid w:val="00811AF8"/>
    <w:rsid w:val="00811CE6"/>
    <w:rsid w:val="00825EC7"/>
    <w:rsid w:val="00830F6A"/>
    <w:rsid w:val="00840428"/>
    <w:rsid w:val="00843D3E"/>
    <w:rsid w:val="00844310"/>
    <w:rsid w:val="00851657"/>
    <w:rsid w:val="00880592"/>
    <w:rsid w:val="00880644"/>
    <w:rsid w:val="00882E95"/>
    <w:rsid w:val="008A27A2"/>
    <w:rsid w:val="008B1DB4"/>
    <w:rsid w:val="008B7E1E"/>
    <w:rsid w:val="008C3CFD"/>
    <w:rsid w:val="008D118D"/>
    <w:rsid w:val="008D2A64"/>
    <w:rsid w:val="008D4225"/>
    <w:rsid w:val="008D5A59"/>
    <w:rsid w:val="008E0127"/>
    <w:rsid w:val="008E5F68"/>
    <w:rsid w:val="00900AA4"/>
    <w:rsid w:val="00900C2F"/>
    <w:rsid w:val="00900DCB"/>
    <w:rsid w:val="00904F35"/>
    <w:rsid w:val="00906DED"/>
    <w:rsid w:val="00910E0F"/>
    <w:rsid w:val="00914AD5"/>
    <w:rsid w:val="0091592D"/>
    <w:rsid w:val="00924B9F"/>
    <w:rsid w:val="00924F53"/>
    <w:rsid w:val="00932646"/>
    <w:rsid w:val="00936DC2"/>
    <w:rsid w:val="009421D5"/>
    <w:rsid w:val="009442DE"/>
    <w:rsid w:val="00962480"/>
    <w:rsid w:val="00971818"/>
    <w:rsid w:val="00971F0F"/>
    <w:rsid w:val="00983611"/>
    <w:rsid w:val="00987B84"/>
    <w:rsid w:val="00990B02"/>
    <w:rsid w:val="00997522"/>
    <w:rsid w:val="009977CD"/>
    <w:rsid w:val="009A12F9"/>
    <w:rsid w:val="009A1619"/>
    <w:rsid w:val="009B5CC2"/>
    <w:rsid w:val="009C42F5"/>
    <w:rsid w:val="009C5ADE"/>
    <w:rsid w:val="009C7B3B"/>
    <w:rsid w:val="009D1360"/>
    <w:rsid w:val="009E117C"/>
    <w:rsid w:val="009E138A"/>
    <w:rsid w:val="009F23A3"/>
    <w:rsid w:val="009F5D98"/>
    <w:rsid w:val="009F6FD7"/>
    <w:rsid w:val="00A11817"/>
    <w:rsid w:val="00A251C8"/>
    <w:rsid w:val="00A37A8F"/>
    <w:rsid w:val="00A422F5"/>
    <w:rsid w:val="00A432A0"/>
    <w:rsid w:val="00A45551"/>
    <w:rsid w:val="00A5353E"/>
    <w:rsid w:val="00A540FA"/>
    <w:rsid w:val="00A54CBF"/>
    <w:rsid w:val="00A62ED1"/>
    <w:rsid w:val="00AA4BE9"/>
    <w:rsid w:val="00AA7D22"/>
    <w:rsid w:val="00AB18B6"/>
    <w:rsid w:val="00AB4C40"/>
    <w:rsid w:val="00AC5EA0"/>
    <w:rsid w:val="00AE232C"/>
    <w:rsid w:val="00AE49B7"/>
    <w:rsid w:val="00AF1AD9"/>
    <w:rsid w:val="00AF3650"/>
    <w:rsid w:val="00B00B20"/>
    <w:rsid w:val="00B0118F"/>
    <w:rsid w:val="00B03EC0"/>
    <w:rsid w:val="00B210EB"/>
    <w:rsid w:val="00B248F3"/>
    <w:rsid w:val="00B26119"/>
    <w:rsid w:val="00B30825"/>
    <w:rsid w:val="00B30DBA"/>
    <w:rsid w:val="00B37A80"/>
    <w:rsid w:val="00B4372D"/>
    <w:rsid w:val="00B44962"/>
    <w:rsid w:val="00B522DA"/>
    <w:rsid w:val="00B70107"/>
    <w:rsid w:val="00B724AF"/>
    <w:rsid w:val="00B76D2A"/>
    <w:rsid w:val="00B80114"/>
    <w:rsid w:val="00B8631B"/>
    <w:rsid w:val="00B91DBC"/>
    <w:rsid w:val="00B91E15"/>
    <w:rsid w:val="00BA3A3F"/>
    <w:rsid w:val="00BC0949"/>
    <w:rsid w:val="00BC2A4F"/>
    <w:rsid w:val="00BC4110"/>
    <w:rsid w:val="00BC4DC8"/>
    <w:rsid w:val="00BC5A96"/>
    <w:rsid w:val="00BE1522"/>
    <w:rsid w:val="00BE4A60"/>
    <w:rsid w:val="00BF4240"/>
    <w:rsid w:val="00C03CA0"/>
    <w:rsid w:val="00C25D1E"/>
    <w:rsid w:val="00C34211"/>
    <w:rsid w:val="00C3484C"/>
    <w:rsid w:val="00C406D1"/>
    <w:rsid w:val="00C57C8C"/>
    <w:rsid w:val="00C60336"/>
    <w:rsid w:val="00C61C8F"/>
    <w:rsid w:val="00C626BA"/>
    <w:rsid w:val="00C719AC"/>
    <w:rsid w:val="00C744C7"/>
    <w:rsid w:val="00C87549"/>
    <w:rsid w:val="00C95BF0"/>
    <w:rsid w:val="00C97D8B"/>
    <w:rsid w:val="00CB333D"/>
    <w:rsid w:val="00CB3D05"/>
    <w:rsid w:val="00CB51A4"/>
    <w:rsid w:val="00CB567C"/>
    <w:rsid w:val="00CC636F"/>
    <w:rsid w:val="00CD6B41"/>
    <w:rsid w:val="00CE3188"/>
    <w:rsid w:val="00CE346B"/>
    <w:rsid w:val="00CE7E5C"/>
    <w:rsid w:val="00CF1669"/>
    <w:rsid w:val="00CF4D93"/>
    <w:rsid w:val="00D03B91"/>
    <w:rsid w:val="00D06CA4"/>
    <w:rsid w:val="00D1153B"/>
    <w:rsid w:val="00D250E8"/>
    <w:rsid w:val="00D313C2"/>
    <w:rsid w:val="00D3512D"/>
    <w:rsid w:val="00D370A7"/>
    <w:rsid w:val="00D44CE9"/>
    <w:rsid w:val="00D5471C"/>
    <w:rsid w:val="00D756BF"/>
    <w:rsid w:val="00D75FD4"/>
    <w:rsid w:val="00D77045"/>
    <w:rsid w:val="00D77F87"/>
    <w:rsid w:val="00D82402"/>
    <w:rsid w:val="00D97D57"/>
    <w:rsid w:val="00DA4E79"/>
    <w:rsid w:val="00DA6AA4"/>
    <w:rsid w:val="00DA72BA"/>
    <w:rsid w:val="00DC59FF"/>
    <w:rsid w:val="00DD6E8C"/>
    <w:rsid w:val="00DE008D"/>
    <w:rsid w:val="00DE0DBD"/>
    <w:rsid w:val="00E07EB3"/>
    <w:rsid w:val="00E10C15"/>
    <w:rsid w:val="00E15287"/>
    <w:rsid w:val="00E176BB"/>
    <w:rsid w:val="00E30FBE"/>
    <w:rsid w:val="00E4326F"/>
    <w:rsid w:val="00E50965"/>
    <w:rsid w:val="00E641EA"/>
    <w:rsid w:val="00E70B9E"/>
    <w:rsid w:val="00E7171A"/>
    <w:rsid w:val="00E72FB1"/>
    <w:rsid w:val="00E74E20"/>
    <w:rsid w:val="00E94B0B"/>
    <w:rsid w:val="00E96DFB"/>
    <w:rsid w:val="00E97722"/>
    <w:rsid w:val="00E97E2B"/>
    <w:rsid w:val="00EA17B4"/>
    <w:rsid w:val="00EA1D21"/>
    <w:rsid w:val="00EB3815"/>
    <w:rsid w:val="00EC41BB"/>
    <w:rsid w:val="00EC7690"/>
    <w:rsid w:val="00ED4270"/>
    <w:rsid w:val="00EF6CC8"/>
    <w:rsid w:val="00F00B6D"/>
    <w:rsid w:val="00F10599"/>
    <w:rsid w:val="00F12880"/>
    <w:rsid w:val="00F15F2F"/>
    <w:rsid w:val="00F323FC"/>
    <w:rsid w:val="00F338B3"/>
    <w:rsid w:val="00F36752"/>
    <w:rsid w:val="00F44507"/>
    <w:rsid w:val="00F44A61"/>
    <w:rsid w:val="00F56EFC"/>
    <w:rsid w:val="00F62CA7"/>
    <w:rsid w:val="00F7475F"/>
    <w:rsid w:val="00F772A7"/>
    <w:rsid w:val="00F7731A"/>
    <w:rsid w:val="00F83388"/>
    <w:rsid w:val="00F83C00"/>
    <w:rsid w:val="00F9383C"/>
    <w:rsid w:val="00FA20F3"/>
    <w:rsid w:val="00FA6961"/>
    <w:rsid w:val="00FB50DC"/>
    <w:rsid w:val="00FC02BD"/>
    <w:rsid w:val="00FC1090"/>
    <w:rsid w:val="00FC141A"/>
    <w:rsid w:val="00FE3FEC"/>
    <w:rsid w:val="00FE75C9"/>
    <w:rsid w:val="00FF048D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6D"/>
  </w:style>
  <w:style w:type="paragraph" w:styleId="Nagwek1">
    <w:name w:val="heading 1"/>
    <w:basedOn w:val="Nagwek"/>
    <w:link w:val="Nagwek1Znak"/>
    <w:qFormat/>
    <w:rsid w:val="0021490A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semiHidden/>
    <w:rsid w:val="003A087A"/>
    <w:pPr>
      <w:suppressAutoHyphens/>
      <w:spacing w:after="0" w:line="240" w:lineRule="auto"/>
      <w:ind w:left="352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iwznagwek">
    <w:name w:val="siwz nagłówek"/>
    <w:basedOn w:val="Normalny"/>
    <w:semiHidden/>
    <w:rsid w:val="003A087A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4"/>
      <w:lang w:eastAsia="zh-CN"/>
    </w:rPr>
  </w:style>
  <w:style w:type="paragraph" w:customStyle="1" w:styleId="Textbody">
    <w:name w:val="Text body"/>
    <w:basedOn w:val="Normalny"/>
    <w:rsid w:val="003A087A"/>
    <w:pPr>
      <w:suppressAutoHyphens/>
      <w:autoSpaceDN w:val="0"/>
      <w:spacing w:before="120" w:after="0" w:line="360" w:lineRule="atLeast"/>
      <w:jc w:val="both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">
    <w:name w:val="Text"/>
    <w:rsid w:val="003A087A"/>
    <w:pPr>
      <w:suppressAutoHyphens/>
      <w:autoSpaceDN w:val="0"/>
      <w:spacing w:after="0" w:line="240" w:lineRule="auto"/>
      <w:ind w:left="352"/>
      <w:jc w:val="both"/>
      <w:textAlignment w:val="baseline"/>
    </w:pPr>
    <w:rPr>
      <w:rFonts w:ascii="Arial" w:eastAsia="SimSun" w:hAnsi="Arial" w:cs="Arial"/>
      <w:kern w:val="3"/>
      <w:lang w:eastAsia="zh-CN"/>
    </w:rPr>
  </w:style>
  <w:style w:type="paragraph" w:customStyle="1" w:styleId="TableContents">
    <w:name w:val="Table Contents"/>
    <w:basedOn w:val="Normalny"/>
    <w:rsid w:val="003A087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3A0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poziom3">
    <w:name w:val="siwz poziom 3"/>
    <w:basedOn w:val="Tekst"/>
    <w:rsid w:val="00154C1F"/>
    <w:pPr>
      <w:numPr>
        <w:ilvl w:val="2"/>
        <w:numId w:val="1"/>
      </w:numPr>
    </w:pPr>
  </w:style>
  <w:style w:type="paragraph" w:customStyle="1" w:styleId="Default">
    <w:name w:val="Default"/>
    <w:rsid w:val="000C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F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490A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0A"/>
  </w:style>
  <w:style w:type="paragraph" w:styleId="Tekstdymka">
    <w:name w:val="Balloon Text"/>
    <w:basedOn w:val="Normalny"/>
    <w:link w:val="TekstdymkaZnak"/>
    <w:uiPriority w:val="99"/>
    <w:semiHidden/>
    <w:unhideWhenUsed/>
    <w:rsid w:val="002E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7"/>
    <w:rPr>
      <w:rFonts w:ascii="Segoe UI" w:hAnsi="Segoe UI" w:cs="Segoe UI"/>
      <w:sz w:val="18"/>
      <w:szCs w:val="18"/>
    </w:rPr>
  </w:style>
  <w:style w:type="character" w:customStyle="1" w:styleId="cs15323895">
    <w:name w:val="cs15323895"/>
    <w:basedOn w:val="Domylnaczcionkaakapitu"/>
    <w:rsid w:val="00474CF4"/>
  </w:style>
  <w:style w:type="paragraph" w:styleId="Stopka">
    <w:name w:val="footer"/>
    <w:basedOn w:val="Normalny"/>
    <w:link w:val="StopkaZnak"/>
    <w:uiPriority w:val="99"/>
    <w:unhideWhenUsed/>
    <w:rsid w:val="0072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55"/>
  </w:style>
  <w:style w:type="character" w:styleId="Hipercze">
    <w:name w:val="Hyperlink"/>
    <w:basedOn w:val="Domylnaczcionkaakapitu"/>
    <w:uiPriority w:val="99"/>
    <w:unhideWhenUsed/>
    <w:rsid w:val="001C3FC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1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D118D"/>
    <w:pPr>
      <w:spacing w:after="0" w:line="240" w:lineRule="auto"/>
    </w:pPr>
  </w:style>
  <w:style w:type="paragraph" w:customStyle="1" w:styleId="Gwka">
    <w:name w:val="Główka"/>
    <w:basedOn w:val="Normalny"/>
    <w:uiPriority w:val="99"/>
    <w:unhideWhenUsed/>
    <w:rsid w:val="00431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1BB2-4396-4A65-8011-70E1B684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Warszawie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Wilczyński Andrzej</dc:creator>
  <cp:lastModifiedBy>ewroblewska</cp:lastModifiedBy>
  <cp:revision>2</cp:revision>
  <cp:lastPrinted>2018-10-25T10:50:00Z</cp:lastPrinted>
  <dcterms:created xsi:type="dcterms:W3CDTF">2018-10-26T10:58:00Z</dcterms:created>
  <dcterms:modified xsi:type="dcterms:W3CDTF">2018-10-26T10:58:00Z</dcterms:modified>
</cp:coreProperties>
</file>