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tbl>
      <w:tblPr>
        <w:tblW w:w="9692" w:type="dxa"/>
        <w:jc w:val="left"/>
        <w:tblInd w:w="-2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5431"/>
        <w:gridCol w:w="2027"/>
      </w:tblGrid>
      <w:tr>
        <w:trPr>
          <w:trHeight w:val="708" w:hRule="atLeast"/>
          <w:cantSplit w:val="true"/>
        </w:trPr>
        <w:tc>
          <w:tcPr>
            <w:tcW w:w="2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a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  <w:lang w:val="pl-PL" w:eastAsia="pl-PL"/>
              </w:rPr>
            </w:pPr>
            <w:r>
              <w:rPr>
                <w:rFonts w:cs="Arial" w:ascii="Arial" w:hAnsi="Arial"/>
                <w:sz w:val="20"/>
                <w:szCs w:val="20"/>
                <w:lang w:val="pl-PL" w:eastAsia="pl-PL"/>
              </w:rPr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46990</wp:posOffset>
                  </wp:positionV>
                  <wp:extent cx="1214755" cy="805180"/>
                  <wp:effectExtent l="0" t="0" r="0" b="0"/>
                  <wp:wrapNone/>
                  <wp:docPr id="1" name="Obraz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79" t="-130" r="-79" b="-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8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  <w:lang w:val="pl-PL" w:eastAsia="pl-PL"/>
              </w:rPr>
            </w:pPr>
            <w:r>
              <w:rPr>
                <w:rFonts w:cs="Arial" w:ascii="Arial" w:hAnsi="Arial"/>
                <w:sz w:val="20"/>
                <w:szCs w:val="20"/>
                <w:lang w:val="pl-PL" w:eastAsia="pl-PL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Karta Usług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/>
            </w:r>
          </w:p>
        </w:tc>
      </w:tr>
      <w:tr>
        <w:trPr>
          <w:trHeight w:val="677" w:hRule="atLeast"/>
          <w:cantSplit w:val="true"/>
        </w:trPr>
        <w:tc>
          <w:tcPr>
            <w:tcW w:w="22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Jak zarejestrować w urzędzie skarbowym spółkę cywilną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Obowiązuje od </w:t>
            </w:r>
            <w:r>
              <w:rPr>
                <w:rFonts w:cs="Arial" w:ascii="Arial" w:hAnsi="Arial"/>
                <w:sz w:val="20"/>
                <w:szCs w:val="20"/>
              </w:rPr>
              <w:t>27.03.</w:t>
            </w:r>
            <w:r>
              <w:rPr>
                <w:rFonts w:eastAsia="Calibri" w:cs="Arial" w:ascii="Arial" w:hAnsi="Arial"/>
                <w:color w:val="auto"/>
                <w:kern w:val="0"/>
                <w:sz w:val="20"/>
                <w:szCs w:val="20"/>
                <w:lang w:val="pl-PL" w:eastAsia="zh-CN" w:bidi="ar-SA"/>
              </w:rPr>
              <w:t xml:space="preserve">2026 </w:t>
            </w:r>
            <w:r>
              <w:rPr>
                <w:rFonts w:cs="Arial" w:ascii="Arial" w:hAnsi="Arial"/>
                <w:sz w:val="20"/>
                <w:szCs w:val="20"/>
              </w:rPr>
              <w:t>r.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722" w:type="dxa"/>
        <w:jc w:val="left"/>
        <w:tblInd w:w="-2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8"/>
        <w:gridCol w:w="7413"/>
      </w:tblGrid>
      <w:tr>
        <w:trPr>
          <w:trHeight w:val="255" w:hRule="atLeast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Co chcę załatwić?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Zarejestrować spółkę cywilną.</w:t>
            </w:r>
          </w:p>
        </w:tc>
      </w:tr>
      <w:tr>
        <w:trPr>
          <w:trHeight w:val="255" w:hRule="atLeast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Kogo dotyczy?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"/>
              <w:widowControl w:val="false"/>
              <w:tabs>
                <w:tab w:val="clear" w:pos="8640"/>
                <w:tab w:val="left" w:pos="612" w:leader="none"/>
              </w:tabs>
              <w:snapToGrid w:val="false"/>
              <w:spacing w:lineRule="auto" w:line="240" w:before="0" w:after="0"/>
              <w:ind w:left="72" w:right="0" w:hanging="72"/>
              <w:jc w:val="both"/>
              <w:rPr/>
            </w:pPr>
            <w:r>
              <w:rPr/>
              <w:t>Osób fizycznych, które zamierzają prowadzić działalność gospodarczą w ramach umowy spółki cywilnej zawartej na podstawie kodeksu cywilnego.</w:t>
            </w:r>
          </w:p>
        </w:tc>
      </w:tr>
      <w:tr>
        <w:trPr>
          <w:trHeight w:val="255" w:hRule="atLeast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Wymagane dokumenty?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"/>
              <w:widowControl w:val="false"/>
              <w:numPr>
                <w:ilvl w:val="0"/>
                <w:numId w:val="2"/>
              </w:numPr>
              <w:tabs>
                <w:tab w:val="clear" w:pos="8640"/>
                <w:tab w:val="left" w:pos="0" w:leader="none"/>
                <w:tab w:val="left" w:pos="297" w:leader="none"/>
              </w:tabs>
              <w:spacing w:lineRule="auto" w:line="240" w:before="57" w:after="57"/>
              <w:ind w:left="0" w:right="0" w:hanging="0"/>
              <w:jc w:val="left"/>
              <w:rPr/>
            </w:pPr>
            <w:r>
              <w:rPr/>
              <w:t>Umowa spółki cywilnej</w:t>
            </w:r>
          </w:p>
          <w:p>
            <w:pPr>
              <w:pStyle w:val="Tre"/>
              <w:widowControl w:val="false"/>
              <w:numPr>
                <w:ilvl w:val="0"/>
                <w:numId w:val="2"/>
              </w:numPr>
              <w:tabs>
                <w:tab w:val="clear" w:pos="8640"/>
                <w:tab w:val="left" w:pos="0" w:leader="none"/>
                <w:tab w:val="left" w:pos="297" w:leader="none"/>
              </w:tabs>
              <w:spacing w:lineRule="auto" w:line="240" w:before="0" w:after="0"/>
              <w:ind w:left="0" w:right="0" w:hanging="0"/>
              <w:jc w:val="left"/>
              <w:rPr/>
            </w:pPr>
            <w:r>
              <w:rPr/>
              <w:t>Dokument potwierdzający prawo do zajmowanego przez podmiot lokalu</w:t>
            </w:r>
          </w:p>
          <w:p>
            <w:pPr>
              <w:pStyle w:val="Tre"/>
              <w:widowControl w:val="false"/>
              <w:numPr>
                <w:ilvl w:val="0"/>
                <w:numId w:val="2"/>
              </w:numPr>
              <w:tabs>
                <w:tab w:val="clear" w:pos="8640"/>
                <w:tab w:val="left" w:pos="0" w:leader="none"/>
                <w:tab w:val="left" w:pos="297" w:leader="none"/>
              </w:tabs>
              <w:spacing w:lineRule="auto" w:line="240" w:before="57" w:after="57"/>
              <w:ind w:left="0" w:right="0" w:hanging="0"/>
              <w:jc w:val="left"/>
              <w:rPr/>
            </w:pPr>
            <w:r>
              <w:rPr/>
              <w:t>Pełnomocnictwo (w przypadku wyznaczenia pełnomocnika).</w:t>
            </w:r>
          </w:p>
          <w:p>
            <w:pPr>
              <w:pStyle w:val="Tre"/>
              <w:widowControl w:val="false"/>
              <w:numPr>
                <w:ilvl w:val="0"/>
                <w:numId w:val="0"/>
              </w:numPr>
              <w:tabs>
                <w:tab w:val="clear" w:pos="8640"/>
                <w:tab w:val="left" w:pos="0" w:leader="none"/>
                <w:tab w:val="left" w:pos="297" w:leader="none"/>
              </w:tabs>
              <w:spacing w:lineRule="auto" w:line="240" w:before="57" w:after="57"/>
              <w:ind w:left="0" w:right="0" w:hanging="0"/>
              <w:jc w:val="left"/>
              <w:rPr/>
            </w:pPr>
            <w:r>
              <w:rPr/>
              <w:t>Osoby fizyczne przed złożeniem NIP-2 muszą dokonać wpisu w CEIDG wskazując, że działalność będzie prowadzona w formie spółki cywilnej.</w:t>
            </w:r>
          </w:p>
        </w:tc>
      </w:tr>
      <w:tr>
        <w:trPr>
          <w:trHeight w:val="255" w:hRule="atLeast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Jakie dokumenty muszę wypełnić?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"/>
              <w:widowControl w:val="false"/>
              <w:numPr>
                <w:ilvl w:val="0"/>
                <w:numId w:val="4"/>
              </w:numPr>
              <w:tabs>
                <w:tab w:val="clear" w:pos="8640"/>
              </w:tabs>
              <w:snapToGrid w:val="false"/>
              <w:spacing w:lineRule="atLeast" w:line="200" w:before="57" w:after="57"/>
              <w:ind w:left="360" w:right="0" w:hanging="360"/>
              <w:jc w:val="left"/>
              <w:rPr/>
            </w:pPr>
            <w:r>
              <w:rPr/>
              <w:t xml:space="preserve">Zgłoszenie identyfikacyjne </w:t>
            </w:r>
            <w:r>
              <w:rPr>
                <w:rStyle w:val="Czeinternetowe"/>
                <w:color w:val="auto"/>
                <w:u w:val="none"/>
              </w:rPr>
              <w:t>NIP-2</w:t>
            </w:r>
            <w:r>
              <w:rPr>
                <w:u w:val="single"/>
              </w:rPr>
              <w:t>,</w:t>
            </w:r>
          </w:p>
          <w:p>
            <w:pPr>
              <w:pStyle w:val="Tre"/>
              <w:widowControl w:val="false"/>
              <w:numPr>
                <w:ilvl w:val="0"/>
                <w:numId w:val="4"/>
              </w:numPr>
              <w:tabs>
                <w:tab w:val="clear" w:pos="8640"/>
              </w:tabs>
              <w:snapToGrid w:val="false"/>
              <w:spacing w:lineRule="atLeast" w:line="200" w:before="57" w:after="57"/>
              <w:ind w:left="360" w:right="0" w:hanging="360"/>
              <w:jc w:val="left"/>
              <w:rPr/>
            </w:pPr>
            <w:r>
              <w:rPr/>
              <w:t xml:space="preserve">Zgłoszenie rejestracyjne </w:t>
            </w:r>
            <w:r>
              <w:rPr>
                <w:rStyle w:val="Czeinternetowe"/>
                <w:color w:val="auto"/>
                <w:u w:val="none"/>
              </w:rPr>
              <w:t>VAT- R</w:t>
            </w:r>
            <w:r>
              <w:rPr/>
              <w:t>, jeżeli podmiot rejestruje się jako podatnik VAT.</w:t>
            </w:r>
          </w:p>
        </w:tc>
      </w:tr>
      <w:tr>
        <w:trPr>
          <w:trHeight w:val="255" w:hRule="atLeast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Wymagane opłaty?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40" w:leader="none"/>
              </w:tabs>
              <w:snapToGrid w:val="false"/>
              <w:spacing w:lineRule="auto" w:line="240" w:before="57" w:after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Opcjonalnie: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40" w:leader="none"/>
              </w:tabs>
              <w:snapToGrid w:val="false"/>
              <w:spacing w:lineRule="auto" w:line="240" w:before="114" w:after="1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1) w przypadku wydania potwierdzenia zarejestrowania podmiotu jako podatnika VAT – opłata skarbowa w wysokości 170 zł.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40" w:leader="none"/>
              </w:tabs>
              <w:snapToGrid w:val="false"/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 xml:space="preserve">2) </w:t>
            </w:r>
            <w:r>
              <w:rPr>
                <w:rFonts w:ascii="Arial" w:hAnsi="Arial"/>
                <w:sz w:val="20"/>
                <w:szCs w:val="20"/>
              </w:rPr>
              <w:t>dowód uiszczenia opłaty skarbowej w wysokości 17 zł od pełnomocnictwa</w:t>
            </w:r>
            <w:r>
              <w:rPr/>
              <w:t>.</w:t>
            </w:r>
          </w:p>
          <w:p>
            <w:pPr>
              <w:pStyle w:val="Tre"/>
              <w:widowControl w:val="false"/>
              <w:tabs>
                <w:tab w:val="clear" w:pos="8640"/>
                <w:tab w:val="left" w:pos="0" w:leader="none"/>
                <w:tab w:val="left" w:pos="640" w:leader="none"/>
              </w:tabs>
              <w:snapToGrid w:val="false"/>
              <w:spacing w:lineRule="atLeast" w:line="200" w:before="114" w:after="234"/>
              <w:ind w:left="13" w:right="0" w:hanging="0"/>
              <w:rPr/>
            </w:pPr>
            <w:r>
              <w:rPr/>
              <w:t xml:space="preserve">Opłatę można dokonać na rachunek Urzędu Miejskiego w Gdańsku </w:t>
            </w:r>
            <w:r>
              <w:rPr>
                <w:b/>
              </w:rPr>
              <w:t xml:space="preserve">31124012681111001038773935 </w:t>
            </w:r>
            <w:r>
              <w:rPr/>
              <w:t>z dopiskiem „opłata za pełnomocnictwo” lub „opłata rejestracyjna VAT”</w:t>
            </w:r>
          </w:p>
        </w:tc>
      </w:tr>
      <w:tr>
        <w:trPr>
          <w:trHeight w:val="802" w:hRule="atLeast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Termin złożenia  dokumentów?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"/>
              <w:widowControl w:val="false"/>
              <w:tabs>
                <w:tab w:val="clear" w:pos="8640"/>
                <w:tab w:val="left" w:pos="0" w:leader="none"/>
                <w:tab w:val="left" w:pos="640" w:leader="none"/>
              </w:tabs>
              <w:snapToGrid w:val="false"/>
              <w:spacing w:lineRule="auto" w:line="240" w:before="0" w:after="0"/>
              <w:ind w:left="0" w:right="0" w:hanging="0"/>
              <w:jc w:val="left"/>
              <w:rPr/>
            </w:pPr>
            <w:r>
              <w:rPr/>
              <w:t>NIP-2, VAT-R składa się przed dokonaniem pierwszych czynności podlegających opodatkowaniu.</w:t>
            </w:r>
          </w:p>
        </w:tc>
      </w:tr>
      <w:tr>
        <w:trPr>
          <w:trHeight w:val="255" w:hRule="atLeast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Gdzie załatwić sprawę?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Trzeci Urząd Skarbowy w Gdańsku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40" w:leader="none"/>
              </w:tabs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Sala obsługi klienta przy ul. Kołobrzeskiej 43, 80-391 Gdańsk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40" w:leader="none"/>
              </w:tabs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Stanowisko nr 5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40" w:leader="none"/>
              </w:tabs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272" w:hRule="atLeast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Sposób załatwienia sprawy?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kst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97" w:leader="none"/>
                <w:tab w:val="left" w:pos="640" w:leader="none"/>
              </w:tabs>
              <w:spacing w:lineRule="auto" w:line="240" w:before="114" w:after="114"/>
              <w:ind w:left="297" w:right="0" w:hanging="297"/>
              <w:jc w:val="left"/>
              <w:rPr/>
            </w:pPr>
            <w:r>
              <w:rPr/>
              <w:t>Na podstawie zgłoszenia identyfikacyjnego NIP-2  Naczelnik Urzędu Skarbowego wydaje potwierdzenie nadania NIP.</w:t>
            </w:r>
          </w:p>
          <w:p>
            <w:pPr>
              <w:pStyle w:val="Tekst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97" w:leader="none"/>
              </w:tabs>
              <w:spacing w:lineRule="auto" w:line="240" w:before="57" w:after="57"/>
              <w:ind w:left="297" w:right="0" w:hanging="297"/>
              <w:jc w:val="left"/>
              <w:rPr/>
            </w:pPr>
            <w:r>
              <w:rPr/>
              <w:t xml:space="preserve">Na podstawie zgłoszenia rejestracyjnego VAT-R Naczelnik Urzędu Skarbowego rejestruje podatnika i potwierdza jego zarejestrowanie jako „podatnika VAT czynnego” lub „podatnika VAT zwolnionego” </w:t>
            </w:r>
          </w:p>
        </w:tc>
      </w:tr>
      <w:tr>
        <w:trPr>
          <w:trHeight w:val="272" w:hRule="atLeast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Jaki jest czas realizacji?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kst"/>
              <w:widowControl w:val="false"/>
              <w:numPr>
                <w:ilvl w:val="0"/>
                <w:numId w:val="5"/>
              </w:numPr>
              <w:snapToGrid w:val="false"/>
              <w:spacing w:lineRule="atLeast" w:line="200" w:before="0" w:after="0"/>
              <w:ind w:left="360" w:right="0" w:hanging="360"/>
              <w:jc w:val="left"/>
              <w:rPr/>
            </w:pPr>
            <w:r>
              <w:rPr/>
              <w:t>Potwierdzenie nadania NIP wydawane jest niezwłocznie, nie później niż w terminie 3 dni od dnia wpływu poprawnego zgłoszenia identyfikacyjnego.</w:t>
            </w:r>
          </w:p>
          <w:p>
            <w:pPr>
              <w:pStyle w:val="Tekst"/>
              <w:widowControl w:val="false"/>
              <w:numPr>
                <w:ilvl w:val="0"/>
                <w:numId w:val="5"/>
              </w:numPr>
              <w:snapToGrid w:val="false"/>
              <w:spacing w:lineRule="atLeast" w:line="200" w:before="57" w:after="57"/>
              <w:ind w:left="360" w:right="0" w:hanging="360"/>
              <w:jc w:val="left"/>
              <w:rPr/>
            </w:pPr>
            <w:r>
              <w:rPr/>
              <w:t>Potwierdzenie rejestracji  VAT następuje bez zbędnej zwłoki.</w:t>
            </w:r>
          </w:p>
        </w:tc>
      </w:tr>
      <w:tr>
        <w:trPr>
          <w:trHeight w:val="540" w:hRule="atLeast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 się odwołać?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Nie dotyczy</w:t>
            </w:r>
          </w:p>
        </w:tc>
      </w:tr>
      <w:tr>
        <w:trPr>
          <w:trHeight w:val="272" w:hRule="atLeast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Informacje dodatkowe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"/>
              <w:widowControl w:val="false"/>
              <w:tabs>
                <w:tab w:val="clear" w:pos="8640"/>
                <w:tab w:val="left" w:pos="0" w:leader="none"/>
              </w:tabs>
              <w:spacing w:lineRule="auto" w:line="240" w:before="114" w:after="114"/>
              <w:ind w:left="0" w:right="0" w:hanging="0"/>
              <w:rPr/>
            </w:pPr>
            <w:r>
              <w:rPr/>
              <w:t xml:space="preserve">Szczegółowe informacje w sprawie można uzyskać pod numerem telefonu </w:t>
              <w:br/>
            </w:r>
            <w:r>
              <w:rPr>
                <w:color w:val="auto"/>
              </w:rPr>
              <w:t>(</w:t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0"/>
                <w:szCs w:val="20"/>
              </w:rPr>
              <w:t>58) 76-11-331, (58) 76-11-332, (58) 76-11-333, (58) 76-11-334, (58) 76-11-335, (58) 76-11-336, (58) 76-11-337, (58) 76-11-339.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72" w:hRule="atLeast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Akty prawne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307" w:leader="none"/>
              </w:tabs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Ustawa - Ordynacja podatkowa.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97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Ustawa o zasadach ewidencji i identyfikacji podatników i płatników.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97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Ustawa o podatku od towarów i usług.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417" w:right="1417" w:gutter="0" w:header="0" w:top="1304" w:footer="0" w:bottom="130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Arial">
    <w:charset w:val="ee"/>
    <w:family w:val="roman"/>
    <w:pitch w:val="variable"/>
  </w:font>
  <w:font w:name="Wingdings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i w:val="false"/>
        <w:b w:val="false"/>
        <w:rFonts w:ascii="Arial" w:hAnsi="Arial" w:cs="Arial (W1);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>
      <w:rFonts w:ascii="OpenSymbol;Arial Unicode MS" w:hAnsi="OpenSymbol;Arial Unicode MS" w:cs="OpenSymbol;Arial Unicode MS"/>
    </w:rPr>
  </w:style>
  <w:style w:type="character" w:styleId="WW8Num1z3">
    <w:name w:val="WW8Num1z3"/>
    <w:qFormat/>
    <w:rPr>
      <w:rFonts w:ascii="Symbol" w:hAnsi="Symbol" w:cs="OpenSymbol;Arial Unicode MS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>
      <w:rFonts w:ascii="OpenSymbol;Arial Unicode MS" w:hAnsi="OpenSymbol;Arial Unicode MS" w:cs="Courier New"/>
    </w:rPr>
  </w:style>
  <w:style w:type="character" w:styleId="WW8Num5z3">
    <w:name w:val="WW8Num5z3"/>
    <w:qFormat/>
    <w:rPr>
      <w:rFonts w:ascii="Symbol" w:hAnsi="Symbol" w:cs="OpenSymbol;Arial Unicode MS"/>
    </w:rPr>
  </w:style>
  <w:style w:type="character" w:styleId="WW8Num6z0">
    <w:name w:val="WW8Num6z0"/>
    <w:qFormat/>
    <w:rPr>
      <w:rFonts w:ascii="Arial" w:hAnsi="Arial" w:cs="Arial (W1);Times New Roman"/>
      <w:b w:val="false"/>
      <w:i w:val="false"/>
      <w:sz w:val="20"/>
    </w:rPr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6z1">
    <w:name w:val="WW8Num6z1"/>
    <w:qFormat/>
    <w:rPr>
      <w:rFonts w:ascii="OpenSymbol;Arial Unicode MS" w:hAnsi="OpenSymbol;Arial Unicode MS" w:cs="Courier New"/>
    </w:rPr>
  </w:style>
  <w:style w:type="character" w:styleId="WW8Num6z3">
    <w:name w:val="WW8Num6z3"/>
    <w:qFormat/>
    <w:rPr>
      <w:rFonts w:ascii="Symbol" w:hAnsi="Symbol" w:cs="OpenSymbol;Arial Unicode MS"/>
    </w:rPr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Arial" w:hAnsi="Arial" w:cs="Arial (W1);Times New Roman"/>
      <w:b w:val="false"/>
      <w:i w:val="false"/>
      <w:sz w:val="20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Domylnaczcionkaakapitu">
    <w:name w:val="Domyślna czcionka akapitu"/>
    <w:qFormat/>
    <w:rPr/>
  </w:style>
  <w:style w:type="character" w:styleId="WW8Num2z1">
    <w:name w:val="WW8Num2z1"/>
    <w:qFormat/>
    <w:rPr>
      <w:rFonts w:ascii="OpenSymbol;Arial Unicode MS" w:hAnsi="OpenSymbol;Arial Unicode MS" w:cs="OpenSymbol;Arial Unicode MS"/>
    </w:rPr>
  </w:style>
  <w:style w:type="character" w:styleId="WW8Num2z3">
    <w:name w:val="WW8Num2z3"/>
    <w:qFormat/>
    <w:rPr>
      <w:rFonts w:ascii="Symbol" w:hAnsi="Symbol" w:cs="OpenSymbol;Arial Unicode MS"/>
    </w:rPr>
  </w:style>
  <w:style w:type="character" w:styleId="WW8Num10z0">
    <w:name w:val="WW8Num10z0"/>
    <w:qFormat/>
    <w:rPr>
      <w:rFonts w:ascii="Arial" w:hAnsi="Arial" w:cs="Arial"/>
    </w:rPr>
  </w:style>
  <w:style w:type="character" w:styleId="WW8Num12z1">
    <w:name w:val="WW8Num12z1"/>
    <w:qFormat/>
    <w:rPr>
      <w:rFonts w:ascii="OpenSymbol;Arial Unicode MS" w:hAnsi="OpenSymbol;Arial Unicode MS" w:cs="OpenSymbol;Arial Unicode MS"/>
    </w:rPr>
  </w:style>
  <w:style w:type="character" w:styleId="WW8Num12z3">
    <w:name w:val="WW8Num12z3"/>
    <w:qFormat/>
    <w:rPr>
      <w:rFonts w:ascii="Symbol" w:hAnsi="Symbol" w:cs="OpenSymbol;Arial Unicode MS"/>
    </w:rPr>
  </w:style>
  <w:style w:type="character" w:styleId="WW-Domylnaczcionkaakapitu">
    <w:name w:val="WW-Domyślna czcionka akapitu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8Num3z1">
    <w:name w:val="WW8Num3z1"/>
    <w:qFormat/>
    <w:rPr>
      <w:rFonts w:ascii="OpenSymbol;Arial Unicode MS" w:hAnsi="OpenSymbol;Arial Unicode MS" w:cs="OpenSymbol;Arial Unicode MS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4z3">
    <w:name w:val="WW8Num4z3"/>
    <w:qFormat/>
    <w:rPr>
      <w:rFonts w:ascii="Symbol" w:hAnsi="Symbol" w:cs="OpenSymbol;Arial Unicode MS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Domylnaczcionkaakapitu2">
    <w:name w:val="Domyślna czcionka akapitu2"/>
    <w:qFormat/>
    <w:rPr/>
  </w:style>
  <w:style w:type="character" w:styleId="Domylnaczcionkaakapitu1">
    <w:name w:val="Domyślna czcionka akapitu1"/>
    <w:qFormat/>
    <w:rPr/>
  </w:style>
  <w:style w:type="character" w:styleId="Znakinumeracji">
    <w:name w:val="Znaki numeracji"/>
    <w:qFormat/>
    <w:rPr/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Czeinternetowe">
    <w:name w:val="Hyperlink"/>
    <w:basedOn w:val="Domylnaczcionkaakapitu1"/>
    <w:rPr>
      <w:color w:val="0000FF"/>
      <w:u w:val="single"/>
    </w:rPr>
  </w:style>
  <w:style w:type="character" w:styleId="NagwekZnak">
    <w:name w:val="Nagłówek Znak"/>
    <w:basedOn w:val="WW-Domylnaczcionkaakapitu"/>
    <w:qFormat/>
    <w:rPr>
      <w:rFonts w:ascii="Calibri" w:hAnsi="Calibri" w:eastAsia="Calibri" w:cs="Calibri"/>
      <w:sz w:val="22"/>
      <w:szCs w:val="22"/>
    </w:rPr>
  </w:style>
  <w:style w:type="character" w:styleId="StopkaZnak">
    <w:name w:val="Stopka Znak"/>
    <w:basedOn w:val="WW-Domylnaczcionkaakapitu"/>
    <w:qFormat/>
    <w:rPr>
      <w:rFonts w:ascii="Calibri" w:hAnsi="Calibri" w:eastAsia="Calibri" w:cs="Calibri"/>
      <w:sz w:val="22"/>
      <w:szCs w:val="22"/>
    </w:rPr>
  </w:style>
  <w:style w:type="character" w:styleId="TekstdymkaZnak">
    <w:name w:val="Tekst dymka Znak"/>
    <w:basedOn w:val="WW-Domylnaczcionkaakapitu"/>
    <w:qFormat/>
    <w:rPr>
      <w:rFonts w:ascii="Tahoma" w:hAnsi="Tahoma" w:eastAsia="Calibri" w:cs="Tahoma"/>
      <w:sz w:val="16"/>
      <w:szCs w:val="16"/>
    </w:rPr>
  </w:style>
  <w:style w:type="character" w:styleId="Numerstron">
    <w:name w:val="Page Number"/>
    <w:basedOn w:val="Domylnaczcionkaakapitu"/>
    <w:rPr/>
  </w:style>
  <w:style w:type="character" w:styleId="Odwiedzoneczeinternetowe">
    <w:name w:val="FollowedHyperlink"/>
    <w:basedOn w:val="Domylnaczcionkaakapitu"/>
    <w:rPr>
      <w:color w:val="800080"/>
      <w:u w:val="single"/>
    </w:rPr>
  </w:style>
  <w:style w:type="paragraph" w:styleId="Nagwek">
    <w:name w:val="Nagłówek"/>
    <w:basedOn w:val="Normal"/>
    <w:next w:val="Tretekstu"/>
    <w:qFormat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next w:val="Tretekstu"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Sygnatura">
    <w:name w:val="Signatur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2">
    <w:name w:val="Nagłówek2"/>
    <w:basedOn w:val="Normal"/>
    <w:next w:val="Tretekstu"/>
    <w:qFormat/>
    <w:pPr>
      <w:keepNext w:val="true"/>
      <w:spacing w:before="240" w:after="120"/>
    </w:pPr>
    <w:rPr>
      <w:rFonts w:ascii="Arial" w:hAnsi="Arial" w:eastAsia="Arial Unicode MS" w:cs="Tahoma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1">
    <w:name w:val="Nagłówek1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Tre">
    <w:name w:val="Treść"/>
    <w:basedOn w:val="Normal"/>
    <w:qFormat/>
    <w:pPr>
      <w:tabs>
        <w:tab w:val="clear" w:pos="708"/>
        <w:tab w:val="left" w:pos="8640" w:leader="none"/>
      </w:tabs>
      <w:suppressAutoHyphens w:val="true"/>
      <w:spacing w:lineRule="auto" w:line="312"/>
      <w:ind w:left="1080" w:right="0" w:hanging="360"/>
      <w:jc w:val="both"/>
    </w:pPr>
    <w:rPr>
      <w:rFonts w:ascii="Arial" w:hAnsi="Arial" w:cs="Arial"/>
      <w:sz w:val="20"/>
      <w:szCs w:val="20"/>
    </w:rPr>
  </w:style>
  <w:style w:type="paragraph" w:styleId="Tekst">
    <w:name w:val="Tekst"/>
    <w:basedOn w:val="Normal"/>
    <w:qFormat/>
    <w:pPr>
      <w:spacing w:lineRule="auto" w:line="360"/>
      <w:ind w:left="0" w:right="0" w:firstLine="709"/>
      <w:jc w:val="both"/>
    </w:pPr>
    <w:rPr>
      <w:rFonts w:ascii="Arial" w:hAnsi="Arial" w:cs="Arial"/>
      <w:sz w:val="20"/>
      <w:szCs w:val="20"/>
    </w:rPr>
  </w:style>
  <w:style w:type="paragraph" w:styleId="Tekstwypunktowany">
    <w:name w:val="Tekst wypunktowany"/>
    <w:basedOn w:val="Tekst"/>
    <w:qFormat/>
    <w:pPr>
      <w:numPr>
        <w:ilvl w:val="0"/>
        <w:numId w:val="1"/>
      </w:numPr>
      <w:ind w:left="-363" w:right="0" w:hanging="0"/>
    </w:pPr>
    <w:rPr/>
  </w:style>
  <w:style w:type="paragraph" w:styleId="Stopka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Tekstdymka">
    <w:name w:val="Tekst dymka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Application>LibreOffice/7.5.2.2$Windows_X86_64 LibreOffice_project/53bb9681a964705cf672590721dbc85eb4d0c3a2</Application>
  <AppVersion>15.0000</AppVersion>
  <Pages>2</Pages>
  <Words>308</Words>
  <Characters>2053</Characters>
  <CharactersWithSpaces>2316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2013-09-19T09:04:00Z</dcterms:created>
  <dc:creator>wasewa</dc:creator>
  <dc:description/>
  <dc:language>pl-PL</dc:language>
  <cp:lastModifiedBy/>
  <cp:lastPrinted>2018-10-18T08:39:00Z</cp:lastPrinted>
  <dcterms:modified xsi:type="dcterms:W3CDTF">2026-03-27T10:23:02Z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