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9185" w:type="dxa"/>
        <w:jc w:val="left"/>
        <w:tblInd w:w="-10" w:type="dxa"/>
        <w:tblLayout w:type="fixed"/>
        <w:tblCellMar>
          <w:top w:w="0" w:type="dxa"/>
          <w:left w:w="98" w:type="dxa"/>
          <w:bottom w:w="0" w:type="dxa"/>
          <w:right w:w="108" w:type="dxa"/>
        </w:tblCellMar>
        <w:tblLook w:val="04a0"/>
      </w:tblPr>
      <w:tblGrid>
        <w:gridCol w:w="2133"/>
        <w:gridCol w:w="7051"/>
      </w:tblGrid>
      <w:tr>
        <w:trPr>
          <w:trHeight w:val="939" w:hRule="atLeast"/>
        </w:trPr>
        <w:tc>
          <w:tcPr>
            <w:tcW w:w="2133" w:type="dxa"/>
            <w:vMerge w:val="restart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kern w:val="0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183515</wp:posOffset>
                  </wp:positionV>
                  <wp:extent cx="1217930" cy="739140"/>
                  <wp:effectExtent l="0" t="0" r="0" b="0"/>
                  <wp:wrapSquare wrapText="largest"/>
                  <wp:docPr id="1" name="Obraz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930" cy="739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51" w:type="dxa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KARTA USŁUGI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Trzeci Urząd Skarbowy w Gdańsku</w:t>
            </w:r>
          </w:p>
        </w:tc>
      </w:tr>
      <w:tr>
        <w:trPr>
          <w:trHeight w:val="745" w:hRule="atLeast"/>
        </w:trPr>
        <w:tc>
          <w:tcPr>
            <w:tcW w:w="2133" w:type="dxa"/>
            <w:vMerge w:val="continue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kern w:val="0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</w:r>
          </w:p>
        </w:tc>
        <w:tc>
          <w:tcPr>
            <w:tcW w:w="7051" w:type="dxa"/>
            <w:tcBorders/>
            <w:shd w:color="auto" w:fill="C6D9F1" w:themeFill="text2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Pełnomocnictwo</w:t>
            </w:r>
          </w:p>
        </w:tc>
      </w:tr>
      <w:tr>
        <w:trPr>
          <w:trHeight w:val="2285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Co przygotować?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lub urzędowo poświadczony odpis pełnomocnictwa oraz dowód wniesienia opłaty skarbowej.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może być ogólne, szczególne albo do doręczeń.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kern w:val="0"/>
                <w:sz w:val="20"/>
                <w:szCs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wskazuje dane identyfikujące mocodawcę, w tym jego identyfikator podatkowy, dane identyfikujące pełnomocnika, w tym jego identyfikator podatkowy, a w przypadku nierezydenta - numer i serię paszportu lub innego dokumentu potwierdzającego tożsamość, lub inny numer identyfikacyjny, o ile nie posiada identyfikatora podatkowego, adres tego pełnomocnika do doręczeń w kraju, a w przypadku adwokata, radcy prawnego lub doradcy podatkowego - także jego adres elektroniczny.</w:t>
            </w:r>
          </w:p>
        </w:tc>
      </w:tr>
      <w:tr>
        <w:trPr>
          <w:trHeight w:val="853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Ile czasu to zajmie?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Od dnia otrzymania pełnomocnictwa urząd będzie kontaktował się za pośrednictwem pełnomocnika w zakresie spraw objętych tym pełnomocnictwem.</w:t>
            </w:r>
          </w:p>
        </w:tc>
      </w:tr>
      <w:tr>
        <w:trPr>
          <w:trHeight w:val="2045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Ile to kosztuje?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Złożenie dokumentu stwierdzającego udzielenie pełnomocnictwa lub urzędowo poświadczonego odpisu pełnomocnictwa podlega opłacie skarbowej w wysokości 17 zł.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Opłatę skarbową należy wpłacić na rachunek Urzędu Miasta Gdańska nr 31 1240 1268 1111 0010 3877 3935,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w tytule wpisując ‘’opłata skarbowa za pełnomocnictwo’’ lub „opłata skarbowa  za urzędowo uwierzytelniony odpis pełnomocnictwa’’.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Opłatę skarbową może zapłacić pełnomocnik.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Złożenie pełnomocnictwa udzielonego małżonkowi, wstępnemu, zstępnemu lub rodzeństwu nie podlega opłacie skarbowej.</w:t>
            </w:r>
          </w:p>
        </w:tc>
      </w:tr>
      <w:tr>
        <w:trPr>
          <w:trHeight w:val="564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Jakie są terminy?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może zostać złożone w dowolnym momencie.</w:t>
            </w:r>
          </w:p>
        </w:tc>
      </w:tr>
      <w:tr>
        <w:trPr>
          <w:trHeight w:val="1492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Gdzie załatwić sprawę?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 szczególne upoważnia do działania we wskazanej sprawie podatkowej lub innej wskazanej sprawie należącej do właściwości organu podatkowego. Składa się je  w organie podatkowym, przed którym pełnomocnik ma reprezentować podatnika.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ogólne upoważnia do działania we wszystkich sprawach podatkowych oraz innych sprawach należących do właściwości organów podatkowych. Składa się je wyłącznie elektronicznie.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Trzeci Urząd Skarbowy w Gdańsku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 xml:space="preserve">ul. </w:t>
            </w:r>
            <w:r>
              <w:rPr>
                <w:rFonts w:eastAsia="Calibri" w:cs="" w:ascii="Calibri" w:hAnsi="Calibri" w:cstheme="minorBidi" w:eastAsiaTheme="minorHAnsi"/>
                <w:color w:val="00000A"/>
                <w:kern w:val="0"/>
                <w:sz w:val="20"/>
                <w:szCs w:val="20"/>
                <w:lang w:val="pl-PL" w:eastAsia="en-US" w:bidi="ar-SA"/>
              </w:rPr>
              <w:t>Chłopska 3</w:t>
            </w:r>
            <w:r>
              <w:rPr>
                <w:rFonts w:ascii="Calibri" w:hAnsi="Calibri"/>
                <w:kern w:val="0"/>
                <w:sz w:val="20"/>
                <w:szCs w:val="20"/>
              </w:rPr>
              <w:t>, 80-362 Gdańsk,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  <w:sz w:val="20"/>
              </w:rPr>
            </w:pPr>
            <w:r>
              <w:rPr>
                <w:rFonts w:eastAsia="Calibri" w:cs="" w:ascii="Calibri" w:hAnsi="Calibri" w:cstheme="minorBidi" w:eastAsiaTheme="minorHAnsi"/>
                <w:color w:val="00000A"/>
                <w:kern w:val="0"/>
                <w:sz w:val="20"/>
                <w:szCs w:val="20"/>
                <w:u w:val="single"/>
                <w:lang w:val="pl-PL" w:eastAsia="en-US" w:bidi="ar-SA"/>
              </w:rPr>
              <w:t>Sala obsługi klienta</w:t>
            </w:r>
            <w:r>
              <w:rPr>
                <w:rFonts w:eastAsia="Calibri" w:cs="Arial" w:ascii="Calibri" w:hAnsi="Calibri" w:eastAsiaTheme="minorHAnsi"/>
                <w:color w:val="00000A"/>
                <w:kern w:val="0"/>
                <w:sz w:val="20"/>
                <w:szCs w:val="20"/>
                <w:u w:val="single"/>
                <w:lang w:val="pl-PL" w:eastAsia="en-US" w:bidi="ar-SA"/>
              </w:rPr>
              <w:t xml:space="preserve"> przy ul. Kołobrzeskiej 43, 80-391 Gdańsk</w:t>
            </w:r>
            <w:r>
              <w:rPr>
                <w:rFonts w:eastAsia="Calibri" w:cs="Arial" w:ascii="Calibri" w:hAnsi="Calibri" w:eastAsiaTheme="minorHAnsi"/>
                <w:color w:val="00000A"/>
                <w:kern w:val="0"/>
                <w:sz w:val="20"/>
                <w:szCs w:val="20"/>
                <w:lang w:val="pl-PL" w:eastAsia="en-US" w:bidi="ar-SA"/>
              </w:rPr>
              <w:t>,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eastAsia="Calibri" w:cs="Arial" w:ascii="Calibri" w:hAnsi="Calibri" w:eastAsiaTheme="minorHAnsi"/>
                <w:color w:val="00000A"/>
                <w:kern w:val="0"/>
                <w:sz w:val="20"/>
                <w:szCs w:val="20"/>
                <w:lang w:val="pl-PL" w:eastAsia="en-US" w:bidi="ar-SA"/>
              </w:rPr>
              <w:t>stanowisko nr 1.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Godziny otwarcia: poniedziałek 8:00-18:00, wtorek, środa, czwartek, piątek 8:00-15:00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Jeśli przebywasz za granicą , pełnomocnictwo można złożyć w polskim urzędzie konsularnym.</w:t>
            </w:r>
          </w:p>
        </w:tc>
      </w:tr>
      <w:tr>
        <w:trPr>
          <w:trHeight w:val="1577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Jak to zrobić?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szczególne powinno być sporządzone na piśmie, w formie dokumentu elektronicznego lub zgłoszone ustnie do protokołu.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Pełnomocnictwo składane w formie dokumentu elektronicznego powinno być uwierzytelnione przy użyciu mechanizmów określonych w ustawie o informatyzacji działalności podmiotów  realizujący zadania publiczne, tzn. podpisane za pomocą kwalifikowanego podpisu elektronicznego lub przy użyciu podpisu zaufanego.</w:t>
            </w:r>
          </w:p>
        </w:tc>
      </w:tr>
      <w:tr>
        <w:trPr>
          <w:trHeight w:val="1131" w:hRule="atLeast"/>
        </w:trPr>
        <w:tc>
          <w:tcPr>
            <w:tcW w:w="9184" w:type="dxa"/>
            <w:gridSpan w:val="2"/>
            <w:tcBorders/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/>
                <w:kern w:val="0"/>
                <w:sz w:val="20"/>
                <w:szCs w:val="20"/>
              </w:rPr>
              <w:t>Jaka jest podstawa prawna usługi?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Ustawa – Ordynacja podatkowa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Ustawa o informatyzacji działalności podmiotów realizujących zadania publiczne</w:t>
            </w:r>
          </w:p>
          <w:p>
            <w:pPr>
              <w:pStyle w:val="ListParagraph"/>
              <w:widowControl w:val="false"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rPr>
                <w:rFonts w:ascii="Calibri" w:hAnsi="Calibri"/>
              </w:rPr>
            </w:pPr>
            <w:r>
              <w:rPr>
                <w:rFonts w:ascii="Calibri" w:hAnsi="Calibri"/>
                <w:kern w:val="0"/>
                <w:sz w:val="20"/>
                <w:szCs w:val="20"/>
              </w:rPr>
              <w:t>Ustawa o opłacie skarbowej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f3f9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uiPriority w:val="99"/>
    <w:semiHidden/>
    <w:qFormat/>
    <w:rsid w:val="00917ba5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917ba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e68d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5a35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LibreOffice/7.5.2.2$Windows_X86_64 LibreOffice_project/53bb9681a964705cf672590721dbc85eb4d0c3a2</Application>
  <AppVersion>15.0000</AppVersion>
  <Pages>1</Pages>
  <Words>366</Words>
  <Characters>2553</Characters>
  <CharactersWithSpaces>2888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2016-12-29T10:21:00Z</dcterms:created>
  <dc:creator>szabar</dc:creator>
  <dc:description/>
  <dc:language>pl-PL</dc:language>
  <cp:lastModifiedBy/>
  <dcterms:modified xsi:type="dcterms:W3CDTF">2026-03-27T10:24:01Z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